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6F9" w:rsidRDefault="000156F9" w:rsidP="0041294D">
      <w:pPr>
        <w:jc w:val="center"/>
        <w:rPr>
          <w:rFonts w:ascii="Calibri" w:hAnsi="Calibri" w:cs="Arial"/>
          <w:b/>
          <w:color w:val="auto"/>
          <w:sz w:val="24"/>
          <w:szCs w:val="24"/>
        </w:rPr>
      </w:pPr>
    </w:p>
    <w:p w:rsidR="0041294D" w:rsidRPr="00707518" w:rsidRDefault="0041294D" w:rsidP="0041294D">
      <w:pPr>
        <w:jc w:val="center"/>
        <w:rPr>
          <w:rFonts w:ascii="Calibri" w:hAnsi="Calibri" w:cs="Arial"/>
          <w:b/>
          <w:color w:val="auto"/>
          <w:sz w:val="24"/>
          <w:szCs w:val="24"/>
        </w:rPr>
      </w:pPr>
      <w:r w:rsidRPr="00707518">
        <w:rPr>
          <w:rFonts w:ascii="Calibri" w:hAnsi="Calibri" w:cs="Arial"/>
          <w:b/>
          <w:color w:val="auto"/>
          <w:sz w:val="24"/>
          <w:szCs w:val="24"/>
        </w:rPr>
        <w:t>LICHFIELD DISTRICT COUNCIL</w:t>
      </w:r>
    </w:p>
    <w:p w:rsidR="0041294D" w:rsidRPr="00707518" w:rsidRDefault="0041294D" w:rsidP="0041294D">
      <w:pPr>
        <w:jc w:val="center"/>
        <w:rPr>
          <w:rFonts w:ascii="Calibri" w:hAnsi="Calibri" w:cs="Arial"/>
          <w:b/>
          <w:color w:val="auto"/>
          <w:sz w:val="24"/>
          <w:szCs w:val="24"/>
          <w:u w:val="single"/>
        </w:rPr>
      </w:pPr>
      <w:r>
        <w:rPr>
          <w:rFonts w:ascii="Calibri" w:hAnsi="Calibri" w:cs="Arial"/>
          <w:b/>
          <w:color w:val="auto"/>
          <w:sz w:val="24"/>
          <w:szCs w:val="24"/>
        </w:rPr>
        <w:t>CODE OF CORP</w:t>
      </w:r>
      <w:r w:rsidRPr="00707518">
        <w:rPr>
          <w:rFonts w:ascii="Calibri" w:hAnsi="Calibri" w:cs="Arial"/>
          <w:b/>
          <w:color w:val="auto"/>
          <w:sz w:val="24"/>
          <w:szCs w:val="24"/>
        </w:rPr>
        <w:t xml:space="preserve">ORATE GOVERNANCE </w:t>
      </w:r>
      <w:r w:rsidR="000156F9">
        <w:rPr>
          <w:rFonts w:ascii="Calibri" w:hAnsi="Calibri" w:cs="Arial"/>
          <w:b/>
          <w:color w:val="auto"/>
          <w:sz w:val="24"/>
          <w:szCs w:val="24"/>
        </w:rPr>
        <w:t>202</w:t>
      </w:r>
      <w:r w:rsidR="001A77A3">
        <w:rPr>
          <w:rFonts w:ascii="Calibri" w:hAnsi="Calibri" w:cs="Arial"/>
          <w:b/>
          <w:color w:val="auto"/>
          <w:sz w:val="24"/>
          <w:szCs w:val="24"/>
        </w:rPr>
        <w:t>1</w:t>
      </w:r>
      <w:r w:rsidR="000156F9">
        <w:rPr>
          <w:rFonts w:ascii="Calibri" w:hAnsi="Calibri" w:cs="Arial"/>
          <w:b/>
          <w:color w:val="auto"/>
          <w:sz w:val="24"/>
          <w:szCs w:val="24"/>
        </w:rPr>
        <w:t>/2</w:t>
      </w:r>
      <w:r w:rsidR="001A77A3">
        <w:rPr>
          <w:rFonts w:ascii="Calibri" w:hAnsi="Calibri" w:cs="Arial"/>
          <w:b/>
          <w:color w:val="auto"/>
          <w:sz w:val="24"/>
          <w:szCs w:val="24"/>
        </w:rPr>
        <w:t>2</w:t>
      </w:r>
    </w:p>
    <w:p w:rsidR="0041294D" w:rsidRPr="00707518" w:rsidRDefault="0041294D" w:rsidP="0041294D">
      <w:pPr>
        <w:jc w:val="both"/>
        <w:rPr>
          <w:rFonts w:ascii="Calibri" w:hAnsi="Calibri" w:cs="Arial"/>
          <w:b/>
          <w:color w:val="auto"/>
          <w:sz w:val="24"/>
          <w:szCs w:val="24"/>
          <w:u w:val="single"/>
        </w:rPr>
      </w:pPr>
    </w:p>
    <w:p w:rsidR="003335FF" w:rsidRDefault="003335FF" w:rsidP="0041294D">
      <w:pPr>
        <w:jc w:val="both"/>
        <w:rPr>
          <w:rFonts w:ascii="Calibri" w:hAnsi="Calibri" w:cs="Arial"/>
          <w:b/>
          <w:color w:val="auto"/>
          <w:sz w:val="24"/>
          <w:szCs w:val="24"/>
        </w:rPr>
      </w:pPr>
    </w:p>
    <w:p w:rsidR="0041294D" w:rsidRPr="002B6F52" w:rsidRDefault="0041294D" w:rsidP="0041294D">
      <w:pPr>
        <w:jc w:val="both"/>
        <w:rPr>
          <w:rFonts w:asciiTheme="minorHAnsi" w:hAnsiTheme="minorHAnsi" w:cstheme="minorHAnsi"/>
          <w:b/>
          <w:color w:val="auto"/>
          <w:sz w:val="24"/>
          <w:szCs w:val="24"/>
        </w:rPr>
      </w:pPr>
      <w:r w:rsidRPr="002B6F52">
        <w:rPr>
          <w:rFonts w:asciiTheme="minorHAnsi" w:hAnsiTheme="minorHAnsi" w:cstheme="minorHAnsi"/>
          <w:b/>
          <w:color w:val="auto"/>
          <w:sz w:val="24"/>
          <w:szCs w:val="24"/>
        </w:rPr>
        <w:t>Introduction</w:t>
      </w:r>
    </w:p>
    <w:p w:rsidR="0041294D" w:rsidRPr="002B6F52" w:rsidRDefault="0041294D" w:rsidP="0041294D">
      <w:pPr>
        <w:jc w:val="both"/>
        <w:rPr>
          <w:rFonts w:asciiTheme="minorHAnsi" w:hAnsiTheme="minorHAnsi" w:cstheme="minorHAnsi"/>
          <w:b/>
          <w:color w:val="auto"/>
          <w:sz w:val="22"/>
          <w:szCs w:val="22"/>
        </w:rPr>
      </w:pPr>
    </w:p>
    <w:p w:rsidR="0041294D" w:rsidRPr="002B6F52" w:rsidRDefault="0041294D" w:rsidP="0041294D">
      <w:pPr>
        <w:jc w:val="both"/>
        <w:rPr>
          <w:rFonts w:asciiTheme="minorHAnsi" w:hAnsiTheme="minorHAnsi" w:cstheme="minorHAnsi"/>
          <w:color w:val="auto"/>
          <w:sz w:val="22"/>
          <w:szCs w:val="22"/>
        </w:rPr>
      </w:pPr>
      <w:r w:rsidRPr="002B6F52">
        <w:rPr>
          <w:rFonts w:asciiTheme="minorHAnsi" w:hAnsiTheme="minorHAnsi" w:cstheme="minorHAnsi"/>
          <w:color w:val="auto"/>
          <w:sz w:val="22"/>
          <w:szCs w:val="22"/>
        </w:rPr>
        <w:t>Good Governance is about how the Council ensures that it is doing the right things, in the right way, for the right people, in a timely, inclusive, open, honest and accountable manner. It comprises the systems and processes, culture and values by which local government bodies are directed and controlled and through which they account to, engage with and, where appropriate, lead their communities.</w:t>
      </w:r>
    </w:p>
    <w:p w:rsidR="0041294D" w:rsidRPr="002B6F52" w:rsidRDefault="0041294D" w:rsidP="0041294D">
      <w:pPr>
        <w:jc w:val="both"/>
        <w:rPr>
          <w:rFonts w:asciiTheme="minorHAnsi" w:hAnsiTheme="minorHAnsi" w:cstheme="minorHAnsi"/>
          <w:color w:val="auto"/>
          <w:sz w:val="22"/>
          <w:szCs w:val="22"/>
        </w:rPr>
      </w:pPr>
    </w:p>
    <w:p w:rsidR="0041294D" w:rsidRPr="002B6F52" w:rsidRDefault="0041294D" w:rsidP="0041294D">
      <w:pPr>
        <w:jc w:val="both"/>
        <w:rPr>
          <w:rFonts w:asciiTheme="minorHAnsi" w:hAnsiTheme="minorHAnsi" w:cstheme="minorHAnsi"/>
          <w:b/>
          <w:color w:val="auto"/>
          <w:sz w:val="24"/>
          <w:szCs w:val="24"/>
        </w:rPr>
      </w:pPr>
      <w:r w:rsidRPr="002B6F52">
        <w:rPr>
          <w:rFonts w:asciiTheme="minorHAnsi" w:hAnsiTheme="minorHAnsi" w:cstheme="minorHAnsi"/>
          <w:b/>
          <w:color w:val="auto"/>
          <w:sz w:val="24"/>
          <w:szCs w:val="24"/>
        </w:rPr>
        <w:t>Our Commitment</w:t>
      </w:r>
    </w:p>
    <w:p w:rsidR="0041294D" w:rsidRPr="002B6F52" w:rsidRDefault="0041294D" w:rsidP="0041294D">
      <w:pPr>
        <w:jc w:val="both"/>
        <w:rPr>
          <w:rFonts w:asciiTheme="minorHAnsi" w:hAnsiTheme="minorHAnsi" w:cstheme="minorHAnsi"/>
          <w:b/>
          <w:color w:val="auto"/>
          <w:sz w:val="22"/>
          <w:szCs w:val="22"/>
        </w:rPr>
      </w:pPr>
    </w:p>
    <w:p w:rsidR="0041294D" w:rsidRPr="002B6F52" w:rsidRDefault="0041294D" w:rsidP="0041294D">
      <w:pPr>
        <w:jc w:val="both"/>
        <w:rPr>
          <w:rFonts w:asciiTheme="minorHAnsi" w:hAnsiTheme="minorHAnsi" w:cstheme="minorHAnsi"/>
          <w:color w:val="auto"/>
          <w:sz w:val="22"/>
          <w:szCs w:val="22"/>
        </w:rPr>
      </w:pPr>
      <w:r w:rsidRPr="002B6F52">
        <w:rPr>
          <w:rFonts w:asciiTheme="minorHAnsi" w:hAnsiTheme="minorHAnsi" w:cstheme="minorHAnsi"/>
          <w:color w:val="auto"/>
          <w:sz w:val="22"/>
          <w:szCs w:val="22"/>
        </w:rPr>
        <w:t>Lichfield District Council is committed to upholding the highest possible standards of good corporate governance, as good governance leads to high standards of management, strong performance, effective use of resources, increased public involvement and trust in the Council, and ultimately good results.</w:t>
      </w:r>
    </w:p>
    <w:p w:rsidR="0041294D" w:rsidRPr="002B6F52" w:rsidRDefault="0041294D" w:rsidP="0041294D">
      <w:pPr>
        <w:jc w:val="both"/>
        <w:rPr>
          <w:rFonts w:asciiTheme="minorHAnsi" w:hAnsiTheme="minorHAnsi" w:cstheme="minorHAnsi"/>
          <w:color w:val="auto"/>
          <w:sz w:val="22"/>
          <w:szCs w:val="22"/>
        </w:rPr>
      </w:pPr>
      <w:r w:rsidRPr="002B6F52">
        <w:rPr>
          <w:rFonts w:asciiTheme="minorHAnsi" w:hAnsiTheme="minorHAnsi" w:cstheme="minorHAnsi"/>
          <w:color w:val="auto"/>
          <w:sz w:val="22"/>
          <w:szCs w:val="22"/>
        </w:rPr>
        <w:t xml:space="preserve">Good governance flows from shared values, culture and behaviour and from sound systems and structures. </w:t>
      </w:r>
    </w:p>
    <w:p w:rsidR="0041294D" w:rsidRPr="002B6F52" w:rsidRDefault="0041294D" w:rsidP="0041294D">
      <w:pPr>
        <w:jc w:val="both"/>
        <w:rPr>
          <w:rFonts w:asciiTheme="minorHAnsi" w:hAnsiTheme="minorHAnsi" w:cstheme="minorHAnsi"/>
          <w:sz w:val="22"/>
          <w:szCs w:val="22"/>
        </w:rPr>
      </w:pPr>
    </w:p>
    <w:p w:rsidR="0041294D" w:rsidRPr="002B6F52" w:rsidRDefault="0041294D" w:rsidP="0041294D">
      <w:pPr>
        <w:jc w:val="both"/>
        <w:rPr>
          <w:rFonts w:asciiTheme="minorHAnsi" w:hAnsiTheme="minorHAnsi" w:cstheme="minorHAnsi"/>
          <w:color w:val="auto"/>
          <w:sz w:val="22"/>
          <w:szCs w:val="22"/>
        </w:rPr>
      </w:pPr>
      <w:r w:rsidRPr="002B6F52">
        <w:rPr>
          <w:rFonts w:asciiTheme="minorHAnsi" w:hAnsiTheme="minorHAnsi" w:cstheme="minorHAnsi"/>
          <w:color w:val="auto"/>
          <w:sz w:val="22"/>
          <w:szCs w:val="22"/>
        </w:rPr>
        <w:t xml:space="preserve">During 2016/17, an updated Framework was produced by CIPFA/SOLACE entitled ‘Delivering Good Governance in Local Government 2016’. The main principle underpinning the development of this new Framework is the fact that local government is developing and shaping its own approach to governance taking account of the environment in which it now operates. The Framework positions the attainment of sustainable economic, societal, and environmental outcomes as a key focus of governance processes and structures. Outcomes give the role of local government its meaning and importance, and it is fitting that they have this central role in the sector’s governance. </w:t>
      </w:r>
    </w:p>
    <w:p w:rsidR="0041294D" w:rsidRPr="002B6F52" w:rsidRDefault="0041294D" w:rsidP="0041294D">
      <w:pPr>
        <w:jc w:val="both"/>
        <w:rPr>
          <w:rFonts w:asciiTheme="minorHAnsi" w:hAnsiTheme="minorHAnsi" w:cstheme="minorHAnsi"/>
          <w:color w:val="auto"/>
          <w:sz w:val="22"/>
          <w:szCs w:val="22"/>
        </w:rPr>
      </w:pPr>
    </w:p>
    <w:p w:rsidR="0041294D" w:rsidRPr="002B6F52" w:rsidRDefault="0041294D" w:rsidP="0041294D">
      <w:pPr>
        <w:jc w:val="both"/>
        <w:rPr>
          <w:rFonts w:asciiTheme="minorHAnsi" w:hAnsiTheme="minorHAnsi" w:cstheme="minorHAnsi"/>
          <w:color w:val="auto"/>
          <w:sz w:val="22"/>
          <w:szCs w:val="22"/>
        </w:rPr>
      </w:pPr>
      <w:r w:rsidRPr="002B6F52">
        <w:rPr>
          <w:rFonts w:asciiTheme="minorHAnsi" w:hAnsiTheme="minorHAnsi" w:cstheme="minorHAnsi"/>
          <w:color w:val="auto"/>
          <w:sz w:val="22"/>
          <w:szCs w:val="22"/>
        </w:rPr>
        <w:t xml:space="preserve">Furthermore, the focus on sustainability and the links between governance and public financial management are crucial for now and for the future. Local authorities have responsibilities to more than their current electors and they must take account of the impact of current decisions and actions on future generations. </w:t>
      </w:r>
    </w:p>
    <w:p w:rsidR="0041294D" w:rsidRPr="002B6F52" w:rsidRDefault="0041294D" w:rsidP="0041294D">
      <w:pPr>
        <w:jc w:val="both"/>
        <w:rPr>
          <w:rFonts w:asciiTheme="minorHAnsi" w:hAnsiTheme="minorHAnsi" w:cstheme="minorHAnsi"/>
          <w:color w:val="auto"/>
          <w:sz w:val="22"/>
          <w:szCs w:val="22"/>
        </w:rPr>
      </w:pPr>
    </w:p>
    <w:p w:rsidR="0041294D" w:rsidRPr="002B6F52" w:rsidRDefault="0041294D" w:rsidP="0041294D">
      <w:pPr>
        <w:jc w:val="both"/>
        <w:rPr>
          <w:rFonts w:asciiTheme="minorHAnsi" w:hAnsiTheme="minorHAnsi" w:cstheme="minorHAnsi"/>
          <w:color w:val="auto"/>
          <w:sz w:val="22"/>
          <w:szCs w:val="22"/>
        </w:rPr>
      </w:pPr>
      <w:r w:rsidRPr="002B6F52">
        <w:rPr>
          <w:rFonts w:asciiTheme="minorHAnsi" w:hAnsiTheme="minorHAnsi" w:cstheme="minorHAnsi"/>
          <w:color w:val="auto"/>
          <w:sz w:val="22"/>
          <w:szCs w:val="22"/>
        </w:rPr>
        <w:t xml:space="preserve">This Framework consists of seven Core Principles and it is proposed that it is these that the Code of Corporate Governance for Lichfield District Council </w:t>
      </w:r>
      <w:r w:rsidR="000156F9" w:rsidRPr="002B6F52">
        <w:rPr>
          <w:rFonts w:asciiTheme="minorHAnsi" w:hAnsiTheme="minorHAnsi" w:cstheme="minorHAnsi"/>
          <w:color w:val="auto"/>
          <w:sz w:val="22"/>
          <w:szCs w:val="22"/>
        </w:rPr>
        <w:t>202</w:t>
      </w:r>
      <w:r w:rsidR="001A77A3" w:rsidRPr="002B6F52">
        <w:rPr>
          <w:rFonts w:asciiTheme="minorHAnsi" w:hAnsiTheme="minorHAnsi" w:cstheme="minorHAnsi"/>
          <w:color w:val="auto"/>
          <w:sz w:val="22"/>
          <w:szCs w:val="22"/>
        </w:rPr>
        <w:t>1</w:t>
      </w:r>
      <w:r w:rsidR="000156F9" w:rsidRPr="002B6F52">
        <w:rPr>
          <w:rFonts w:asciiTheme="minorHAnsi" w:hAnsiTheme="minorHAnsi" w:cstheme="minorHAnsi"/>
          <w:color w:val="auto"/>
          <w:sz w:val="22"/>
          <w:szCs w:val="22"/>
        </w:rPr>
        <w:t>/2</w:t>
      </w:r>
      <w:r w:rsidR="001A77A3" w:rsidRPr="002B6F52">
        <w:rPr>
          <w:rFonts w:asciiTheme="minorHAnsi" w:hAnsiTheme="minorHAnsi" w:cstheme="minorHAnsi"/>
          <w:color w:val="auto"/>
          <w:sz w:val="22"/>
          <w:szCs w:val="22"/>
        </w:rPr>
        <w:t>2</w:t>
      </w:r>
      <w:r w:rsidRPr="002B6F52">
        <w:rPr>
          <w:rFonts w:asciiTheme="minorHAnsi" w:hAnsiTheme="minorHAnsi" w:cstheme="minorHAnsi"/>
          <w:color w:val="auto"/>
          <w:sz w:val="22"/>
          <w:szCs w:val="22"/>
        </w:rPr>
        <w:t xml:space="preserve"> is based. </w:t>
      </w:r>
    </w:p>
    <w:p w:rsidR="0041294D" w:rsidRPr="002B6F52" w:rsidRDefault="0041294D" w:rsidP="0041294D">
      <w:pPr>
        <w:jc w:val="both"/>
        <w:rPr>
          <w:rFonts w:asciiTheme="minorHAnsi" w:hAnsiTheme="minorHAnsi" w:cstheme="minorHAnsi"/>
          <w:color w:val="auto"/>
          <w:sz w:val="22"/>
          <w:szCs w:val="22"/>
        </w:rPr>
      </w:pPr>
    </w:p>
    <w:p w:rsidR="0041294D" w:rsidRPr="002B6F52" w:rsidRDefault="0041294D" w:rsidP="0041294D">
      <w:pPr>
        <w:jc w:val="both"/>
        <w:rPr>
          <w:rFonts w:asciiTheme="minorHAnsi" w:hAnsiTheme="minorHAnsi" w:cstheme="minorHAnsi"/>
          <w:color w:val="auto"/>
          <w:sz w:val="22"/>
          <w:szCs w:val="22"/>
        </w:rPr>
      </w:pPr>
      <w:r w:rsidRPr="002B6F52">
        <w:rPr>
          <w:rFonts w:asciiTheme="minorHAnsi" w:hAnsiTheme="minorHAnsi" w:cstheme="minorHAnsi"/>
          <w:color w:val="auto"/>
          <w:sz w:val="22"/>
          <w:szCs w:val="22"/>
        </w:rPr>
        <w:t>The seven Core Principles are as follows:</w:t>
      </w:r>
    </w:p>
    <w:p w:rsidR="0041294D" w:rsidRPr="002B6F52" w:rsidRDefault="0041294D" w:rsidP="0041294D">
      <w:pPr>
        <w:jc w:val="both"/>
        <w:rPr>
          <w:rFonts w:asciiTheme="minorHAnsi" w:hAnsiTheme="minorHAnsi" w:cstheme="minorHAnsi"/>
          <w:color w:val="auto"/>
          <w:sz w:val="22"/>
          <w:szCs w:val="22"/>
        </w:rPr>
      </w:pPr>
    </w:p>
    <w:p w:rsidR="003335FF" w:rsidRPr="002B6F52" w:rsidRDefault="003335FF" w:rsidP="003335FF">
      <w:pPr>
        <w:widowControl w:val="0"/>
        <w:pBdr>
          <w:top w:val="single" w:sz="4" w:space="1" w:color="auto"/>
          <w:left w:val="single" w:sz="4" w:space="4" w:color="auto"/>
          <w:bottom w:val="single" w:sz="4" w:space="1" w:color="auto"/>
          <w:right w:val="single" w:sz="4" w:space="4" w:color="auto"/>
        </w:pBdr>
        <w:spacing w:after="278" w:line="246" w:lineRule="exact"/>
        <w:ind w:left="720" w:hanging="720"/>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b/>
          <w:bCs/>
          <w:color w:val="auto"/>
          <w:sz w:val="22"/>
          <w:szCs w:val="22"/>
          <w:lang w:eastAsia="en-GB"/>
        </w:rPr>
        <w:t>A</w:t>
      </w:r>
      <w:r w:rsidRPr="002B6F52">
        <w:rPr>
          <w:rFonts w:asciiTheme="minorHAnsi" w:eastAsia="Arial" w:hAnsiTheme="minorHAnsi" w:cstheme="minorHAnsi"/>
          <w:b/>
          <w:bCs/>
          <w:color w:val="auto"/>
          <w:sz w:val="22"/>
          <w:szCs w:val="22"/>
          <w:lang w:eastAsia="en-GB"/>
        </w:rPr>
        <w:tab/>
        <w:t>Behaving with Integrity, Demonstrating Strong Commitment to Ethical Values and Respecting the Rule of Law</w:t>
      </w:r>
    </w:p>
    <w:p w:rsidR="003335FF" w:rsidRPr="002B6F52" w:rsidRDefault="003335FF" w:rsidP="003335FF">
      <w:pPr>
        <w:widowControl w:val="0"/>
        <w:pBdr>
          <w:top w:val="single" w:sz="4" w:space="1" w:color="auto"/>
          <w:left w:val="single" w:sz="4" w:space="4" w:color="auto"/>
          <w:bottom w:val="single" w:sz="4" w:space="1" w:color="auto"/>
          <w:right w:val="single" w:sz="4" w:space="4" w:color="auto"/>
        </w:pBdr>
        <w:spacing w:after="278" w:line="246" w:lineRule="exact"/>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‘Local government organisations are accountable not only for how much they spend, but also for how they use the resources under their stewardship. This includes accountability for outputs, both positive and negative and for the outcomes they have achieved. In addition, they have an overarching responsibility to serve the public interest in adhering to the requirements of legislation and Government policies. It is essential that, as a whole, they can demonstrate the appropriateness of all their actions across all activities and have mechanisms in place to encourage and enforce adherence to ethical values and to respect the rule of law.’</w:t>
      </w:r>
    </w:p>
    <w:p w:rsidR="003335FF" w:rsidRPr="002B6F52" w:rsidRDefault="003335FF" w:rsidP="003335FF">
      <w:pPr>
        <w:keepNext/>
        <w:keepLines/>
        <w:jc w:val="both"/>
        <w:rPr>
          <w:rFonts w:asciiTheme="minorHAnsi" w:hAnsiTheme="minorHAnsi" w:cstheme="minorHAnsi"/>
          <w:b/>
          <w:color w:val="auto"/>
          <w:sz w:val="22"/>
          <w:szCs w:val="22"/>
          <w:u w:val="single"/>
        </w:rPr>
      </w:pPr>
      <w:r w:rsidRPr="002B6F52">
        <w:rPr>
          <w:rFonts w:asciiTheme="minorHAnsi" w:hAnsiTheme="minorHAnsi" w:cstheme="minorHAnsi"/>
          <w:b/>
          <w:color w:val="auto"/>
          <w:sz w:val="22"/>
          <w:szCs w:val="22"/>
          <w:u w:val="single"/>
        </w:rPr>
        <w:t>Outcomes</w:t>
      </w:r>
    </w:p>
    <w:p w:rsidR="003335FF" w:rsidRPr="002B6F52" w:rsidRDefault="003335FF" w:rsidP="003335FF">
      <w:pPr>
        <w:jc w:val="both"/>
        <w:rPr>
          <w:rFonts w:asciiTheme="minorHAnsi" w:hAnsiTheme="minorHAnsi" w:cstheme="minorHAnsi"/>
          <w:b/>
          <w:i/>
          <w:color w:val="auto"/>
          <w:sz w:val="22"/>
          <w:szCs w:val="22"/>
        </w:rPr>
      </w:pPr>
    </w:p>
    <w:p w:rsidR="003335FF" w:rsidRPr="002B6F52" w:rsidRDefault="003335FF" w:rsidP="003335FF">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 xml:space="preserve">We develop, communicate and embed codes of conduct, defining standards of behaviour for Members and officers to ensure they exercise leadership by behaving in ways that exemplify high standards of conduct and effective governance, and that are respectful of laws and regulations. </w:t>
      </w:r>
    </w:p>
    <w:p w:rsidR="003335FF" w:rsidRPr="002B6F52" w:rsidRDefault="003335FF" w:rsidP="003335FF">
      <w:pPr>
        <w:jc w:val="both"/>
        <w:rPr>
          <w:rFonts w:asciiTheme="minorHAnsi" w:hAnsiTheme="minorHAnsi" w:cstheme="minorHAnsi"/>
          <w:b/>
          <w:i/>
          <w:color w:val="auto"/>
          <w:sz w:val="22"/>
          <w:szCs w:val="22"/>
        </w:rPr>
      </w:pPr>
    </w:p>
    <w:p w:rsidR="003335FF" w:rsidRPr="002B6F52" w:rsidRDefault="003335FF" w:rsidP="003335FF">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Our policies seek to ensure Members and officers behave with integrity and lead a culture where acting in the public interest is visibly and consistently demonstrated which assists in protecting the reputation of the organisation.</w:t>
      </w:r>
    </w:p>
    <w:p w:rsidR="003335FF" w:rsidRPr="002B6F52" w:rsidRDefault="003335FF" w:rsidP="003335FF">
      <w:pPr>
        <w:jc w:val="both"/>
        <w:rPr>
          <w:rFonts w:asciiTheme="minorHAnsi" w:hAnsiTheme="minorHAnsi" w:cstheme="minorHAnsi"/>
          <w:b/>
          <w:i/>
          <w:color w:val="auto"/>
          <w:sz w:val="22"/>
          <w:szCs w:val="22"/>
        </w:rPr>
      </w:pPr>
    </w:p>
    <w:p w:rsidR="003335FF" w:rsidRPr="002B6F52" w:rsidRDefault="003335FF" w:rsidP="003335FF">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lastRenderedPageBreak/>
        <w:t xml:space="preserve">We underpin personal behaviour with ethical values and ensure they permeate all aspects of the organisation’s culture and operation, and are respectful of the rule of law. </w:t>
      </w:r>
    </w:p>
    <w:p w:rsidR="003335FF" w:rsidRPr="002B6F52" w:rsidRDefault="003335FF" w:rsidP="003335FF">
      <w:pPr>
        <w:jc w:val="both"/>
        <w:rPr>
          <w:rFonts w:asciiTheme="minorHAnsi" w:hAnsiTheme="minorHAnsi" w:cstheme="minorHAnsi"/>
          <w:b/>
          <w:i/>
          <w:color w:val="auto"/>
          <w:sz w:val="22"/>
          <w:szCs w:val="22"/>
        </w:rPr>
      </w:pPr>
    </w:p>
    <w:p w:rsidR="003335FF" w:rsidRPr="002B6F52" w:rsidRDefault="003335FF" w:rsidP="003335FF">
      <w:pPr>
        <w:widowControl w:val="0"/>
        <w:pBdr>
          <w:top w:val="single" w:sz="4" w:space="1" w:color="auto"/>
          <w:left w:val="single" w:sz="4" w:space="4" w:color="auto"/>
          <w:bottom w:val="single" w:sz="4" w:space="0" w:color="auto"/>
          <w:right w:val="single" w:sz="4" w:space="4" w:color="auto"/>
        </w:pBdr>
        <w:spacing w:after="278" w:line="246" w:lineRule="exact"/>
        <w:ind w:left="720" w:hanging="720"/>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b/>
          <w:bCs/>
          <w:color w:val="auto"/>
          <w:sz w:val="22"/>
          <w:szCs w:val="22"/>
          <w:lang w:eastAsia="en-GB"/>
        </w:rPr>
        <w:t>B</w:t>
      </w:r>
      <w:r w:rsidRPr="002B6F52">
        <w:rPr>
          <w:rFonts w:asciiTheme="minorHAnsi" w:eastAsia="Arial" w:hAnsiTheme="minorHAnsi" w:cstheme="minorHAnsi"/>
          <w:b/>
          <w:bCs/>
          <w:color w:val="auto"/>
          <w:sz w:val="22"/>
          <w:szCs w:val="22"/>
          <w:lang w:eastAsia="en-GB"/>
        </w:rPr>
        <w:tab/>
        <w:t>Ensuring Openness and Comprehensive Stakeholder Engagement</w:t>
      </w:r>
    </w:p>
    <w:p w:rsidR="003335FF" w:rsidRPr="002B6F52" w:rsidRDefault="003335FF" w:rsidP="003335FF">
      <w:pPr>
        <w:widowControl w:val="0"/>
        <w:pBdr>
          <w:top w:val="single" w:sz="4" w:space="1" w:color="auto"/>
          <w:left w:val="single" w:sz="4" w:space="4" w:color="auto"/>
          <w:bottom w:val="single" w:sz="4" w:space="0" w:color="auto"/>
          <w:right w:val="single" w:sz="4" w:space="4" w:color="auto"/>
        </w:pBdr>
        <w:spacing w:after="278" w:line="246" w:lineRule="exact"/>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i/>
          <w:color w:val="auto"/>
          <w:sz w:val="22"/>
          <w:szCs w:val="22"/>
          <w:lang w:eastAsia="en-GB"/>
        </w:rPr>
        <w:t>‘Local government is run for the public good. Organisations therefore should ensure openness in their activities. Clear, trusted channels of communication and consultation should be used to engage effectively with all groups of stakeholders, such as individual citizens and service users, as well as institutional stakeholders.’</w:t>
      </w:r>
    </w:p>
    <w:p w:rsidR="003335FF" w:rsidRPr="002B6F52" w:rsidRDefault="003335FF" w:rsidP="003335FF">
      <w:pPr>
        <w:keepNext/>
        <w:keepLines/>
        <w:jc w:val="both"/>
        <w:rPr>
          <w:rFonts w:asciiTheme="minorHAnsi" w:hAnsiTheme="minorHAnsi" w:cstheme="minorHAnsi"/>
          <w:b/>
          <w:color w:val="auto"/>
          <w:sz w:val="22"/>
          <w:szCs w:val="22"/>
          <w:u w:val="single"/>
        </w:rPr>
      </w:pPr>
      <w:r w:rsidRPr="002B6F52">
        <w:rPr>
          <w:rFonts w:asciiTheme="minorHAnsi" w:hAnsiTheme="minorHAnsi" w:cstheme="minorHAnsi"/>
          <w:b/>
          <w:color w:val="auto"/>
          <w:sz w:val="22"/>
          <w:szCs w:val="22"/>
          <w:u w:val="single"/>
        </w:rPr>
        <w:t>Outcomes</w:t>
      </w:r>
    </w:p>
    <w:p w:rsidR="003335FF" w:rsidRPr="002B6F52" w:rsidRDefault="003335FF" w:rsidP="003335FF">
      <w:pPr>
        <w:jc w:val="both"/>
        <w:rPr>
          <w:rFonts w:asciiTheme="minorHAnsi" w:hAnsiTheme="minorHAnsi" w:cstheme="minorHAnsi"/>
          <w:b/>
          <w:i/>
          <w:color w:val="auto"/>
          <w:sz w:val="22"/>
          <w:szCs w:val="22"/>
        </w:rPr>
      </w:pPr>
    </w:p>
    <w:p w:rsidR="003335FF" w:rsidRPr="002B6F52" w:rsidRDefault="003335FF" w:rsidP="003335FF">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 xml:space="preserve">We make decisions that are open about actions, plans, resource use, forecasts, outputs and outcomes. If a decision is to be kept confidential we provide </w:t>
      </w:r>
      <w:r w:rsidRPr="0015770A">
        <w:rPr>
          <w:rFonts w:asciiTheme="minorHAnsi" w:hAnsiTheme="minorHAnsi" w:cstheme="minorHAnsi"/>
          <w:b/>
          <w:i/>
          <w:color w:val="auto"/>
          <w:sz w:val="22"/>
          <w:szCs w:val="22"/>
        </w:rPr>
        <w:t>justification</w:t>
      </w:r>
      <w:r w:rsidR="006B1973" w:rsidRPr="0015770A">
        <w:rPr>
          <w:rFonts w:asciiTheme="minorHAnsi" w:hAnsiTheme="minorHAnsi" w:cstheme="minorHAnsi"/>
          <w:b/>
          <w:i/>
          <w:color w:val="auto"/>
          <w:sz w:val="22"/>
          <w:szCs w:val="22"/>
        </w:rPr>
        <w:t xml:space="preserve"> and reasons</w:t>
      </w:r>
      <w:r w:rsidRPr="0015770A">
        <w:rPr>
          <w:rFonts w:asciiTheme="minorHAnsi" w:hAnsiTheme="minorHAnsi" w:cstheme="minorHAnsi"/>
          <w:b/>
          <w:i/>
          <w:color w:val="auto"/>
          <w:sz w:val="22"/>
          <w:szCs w:val="22"/>
        </w:rPr>
        <w:t xml:space="preserve"> for</w:t>
      </w:r>
      <w:bookmarkStart w:id="0" w:name="_GoBack"/>
      <w:bookmarkEnd w:id="0"/>
      <w:r w:rsidRPr="002B6F52">
        <w:rPr>
          <w:rFonts w:asciiTheme="minorHAnsi" w:hAnsiTheme="minorHAnsi" w:cstheme="minorHAnsi"/>
          <w:b/>
          <w:i/>
          <w:color w:val="auto"/>
          <w:sz w:val="22"/>
          <w:szCs w:val="22"/>
        </w:rPr>
        <w:t xml:space="preserve"> this decision.</w:t>
      </w:r>
    </w:p>
    <w:p w:rsidR="003335FF" w:rsidRPr="002B6F52" w:rsidRDefault="003335FF" w:rsidP="003335FF">
      <w:pPr>
        <w:jc w:val="both"/>
        <w:rPr>
          <w:rFonts w:asciiTheme="minorHAnsi" w:hAnsiTheme="minorHAnsi" w:cstheme="minorHAnsi"/>
          <w:b/>
          <w:i/>
          <w:color w:val="auto"/>
          <w:sz w:val="22"/>
          <w:szCs w:val="22"/>
        </w:rPr>
      </w:pPr>
    </w:p>
    <w:p w:rsidR="003335FF" w:rsidRPr="002B6F52" w:rsidRDefault="003335FF" w:rsidP="003335FF">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ensure that communication methods are effective and that members and officers are clear about their roles with regards to community engagement.</w:t>
      </w:r>
    </w:p>
    <w:p w:rsidR="003335FF" w:rsidRPr="002B6F52" w:rsidRDefault="003335FF" w:rsidP="003335FF">
      <w:pPr>
        <w:jc w:val="both"/>
        <w:rPr>
          <w:rFonts w:asciiTheme="minorHAnsi" w:hAnsiTheme="minorHAnsi" w:cstheme="minorHAnsi"/>
          <w:b/>
          <w:i/>
          <w:color w:val="auto"/>
          <w:sz w:val="22"/>
          <w:szCs w:val="22"/>
        </w:rPr>
      </w:pPr>
    </w:p>
    <w:p w:rsidR="003335FF" w:rsidRPr="002B6F52" w:rsidRDefault="003335FF" w:rsidP="003335FF">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engage with internal and external stakeholders in determining how services and other courses of action should be planned and delivered.</w:t>
      </w:r>
    </w:p>
    <w:p w:rsidR="0041294D" w:rsidRPr="002B6F52" w:rsidRDefault="0041294D" w:rsidP="0041294D">
      <w:pPr>
        <w:jc w:val="both"/>
        <w:rPr>
          <w:rFonts w:asciiTheme="minorHAnsi" w:hAnsiTheme="minorHAnsi" w:cstheme="minorHAnsi"/>
          <w:color w:val="auto"/>
          <w:sz w:val="22"/>
          <w:szCs w:val="22"/>
        </w:rPr>
      </w:pP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spacing w:after="238" w:line="246" w:lineRule="exact"/>
        <w:ind w:left="720" w:hanging="720"/>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b/>
          <w:bCs/>
          <w:color w:val="auto"/>
          <w:sz w:val="22"/>
          <w:szCs w:val="22"/>
          <w:lang w:eastAsia="en-GB"/>
        </w:rPr>
        <w:t>C</w:t>
      </w:r>
      <w:r w:rsidRPr="002B6F52">
        <w:rPr>
          <w:rFonts w:asciiTheme="minorHAnsi" w:eastAsia="Arial" w:hAnsiTheme="minorHAnsi" w:cstheme="minorHAnsi"/>
          <w:b/>
          <w:bCs/>
          <w:color w:val="auto"/>
          <w:sz w:val="22"/>
          <w:szCs w:val="22"/>
          <w:lang w:eastAsia="en-GB"/>
        </w:rPr>
        <w:tab/>
        <w:t>Defining Outcomes in Terms of Sustainable Economic, Social and Environmental Benefits</w:t>
      </w: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tabs>
          <w:tab w:val="left" w:pos="399"/>
        </w:tabs>
        <w:spacing w:after="220"/>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 xml:space="preserve">‘The long-term nature and impact of many of local government’s responsibilities meant that it should define and plan outcomes and that these should be sustainable. Decisions should further the organisation’s purpose, contribute to intended benefits and outcomes, and remain within the limits of authority and resources. Input from all groups of stakeholders, including citizens, service users, and institutional stakeholders, is vital to the success of this process and in balancing competing demands when determining priorities for the finite resources available.’ </w:t>
      </w:r>
    </w:p>
    <w:p w:rsidR="00D552D0" w:rsidRPr="002B6F52" w:rsidRDefault="00D552D0" w:rsidP="00D552D0">
      <w:pPr>
        <w:keepNext/>
        <w:keepLines/>
        <w:jc w:val="both"/>
        <w:rPr>
          <w:rFonts w:asciiTheme="minorHAnsi" w:hAnsiTheme="minorHAnsi" w:cstheme="minorHAnsi"/>
          <w:b/>
          <w:color w:val="auto"/>
          <w:sz w:val="22"/>
          <w:szCs w:val="22"/>
          <w:u w:val="single"/>
        </w:rPr>
      </w:pPr>
      <w:r w:rsidRPr="002B6F52">
        <w:rPr>
          <w:rFonts w:asciiTheme="minorHAnsi" w:hAnsiTheme="minorHAnsi" w:cstheme="minorHAnsi"/>
          <w:b/>
          <w:color w:val="auto"/>
          <w:sz w:val="22"/>
          <w:szCs w:val="22"/>
          <w:u w:val="single"/>
        </w:rPr>
        <w:t>Outcomes</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consider and balance the combined economic, social and environmental impact of policies, plans and decisions when taking decisions about service provision.</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ensure decision makers receive objective and rigorous analysis of a variety of options indicating how intended outcomes would be achieved and including the risks associated with those options, thus ensuring that best value is achieved however services are provided.</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 xml:space="preserve">We measure the quality of services for users, ensuring they are delivered in accordance with our objectives and that they represent the best use of resources and that Council Tax payers and service users receive excellent value for money. We do this through the Performance Management Framework. </w:t>
      </w:r>
    </w:p>
    <w:p w:rsidR="00D552D0" w:rsidRPr="002B6F52" w:rsidRDefault="00D552D0" w:rsidP="0041294D">
      <w:pPr>
        <w:jc w:val="both"/>
        <w:rPr>
          <w:rFonts w:asciiTheme="minorHAnsi" w:hAnsiTheme="minorHAnsi" w:cstheme="minorHAnsi"/>
          <w:color w:val="auto"/>
          <w:sz w:val="22"/>
          <w:szCs w:val="22"/>
        </w:rPr>
      </w:pP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spacing w:after="242" w:line="246" w:lineRule="exact"/>
        <w:ind w:left="720" w:hanging="720"/>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b/>
          <w:bCs/>
          <w:color w:val="auto"/>
          <w:sz w:val="22"/>
          <w:szCs w:val="22"/>
          <w:lang w:eastAsia="en-GB"/>
        </w:rPr>
        <w:t>D</w:t>
      </w:r>
      <w:r w:rsidRPr="002B6F52">
        <w:rPr>
          <w:rFonts w:asciiTheme="minorHAnsi" w:eastAsia="Arial" w:hAnsiTheme="minorHAnsi" w:cstheme="minorHAnsi"/>
          <w:b/>
          <w:bCs/>
          <w:color w:val="auto"/>
          <w:sz w:val="22"/>
          <w:szCs w:val="22"/>
          <w:lang w:eastAsia="en-GB"/>
        </w:rPr>
        <w:tab/>
        <w:t>Determining the Interventions Necessary to Optimise the Achievements of the Intended Outcomes</w:t>
      </w: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tabs>
          <w:tab w:val="left" w:pos="399"/>
        </w:tabs>
        <w:spacing w:after="220"/>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 xml:space="preserve">‘Local Government achieves its intended outcomes by providing a mixture of legal, regulatory, and practical interventions (courses of action). Determining the right mix of these courses of action is a critically important strategic choice that local government has to make to ensure intended outcomes are achieved. They need robust decision making mechanisms to ensure that their defined outcomes can be achieved in a way that provides the best trade-off between the various types of resource inputs while still enabling effective and efficient operations. Decisions made need to be reviewed frequently to ensure that achievement of outcomes is optimised.’ </w:t>
      </w:r>
    </w:p>
    <w:p w:rsidR="00D552D0" w:rsidRPr="002B6F52" w:rsidRDefault="00D552D0" w:rsidP="00D552D0">
      <w:pPr>
        <w:keepNext/>
        <w:keepLines/>
        <w:jc w:val="both"/>
        <w:rPr>
          <w:rFonts w:asciiTheme="minorHAnsi" w:hAnsiTheme="minorHAnsi" w:cstheme="minorHAnsi"/>
          <w:b/>
          <w:color w:val="auto"/>
          <w:sz w:val="22"/>
          <w:szCs w:val="22"/>
          <w:u w:val="single"/>
        </w:rPr>
      </w:pPr>
      <w:r w:rsidRPr="002B6F52">
        <w:rPr>
          <w:rFonts w:asciiTheme="minorHAnsi" w:hAnsiTheme="minorHAnsi" w:cstheme="minorHAnsi"/>
          <w:b/>
          <w:color w:val="auto"/>
          <w:sz w:val="22"/>
          <w:szCs w:val="22"/>
          <w:u w:val="single"/>
        </w:rPr>
        <w:t>Outcomes</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inform medium and long term resource planning by drawing up realistic estimates of revenues and capital expenditure aimed at developing a sustainable funding strategy.</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lastRenderedPageBreak/>
        <w:t>We ensure that the medium term financial strategy sets the context for ongoing decisions on significant delivery issues or responses to changes in the external environment that may arise during the budgetary period in order for outcomes to be achieved whilst optimising resource usage.</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ensure the medium term financial strategy integrates and balances service priorities, affordability and other resource constraints.</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spacing w:after="242" w:line="246" w:lineRule="exact"/>
        <w:ind w:left="720" w:hanging="720"/>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b/>
          <w:bCs/>
          <w:color w:val="auto"/>
          <w:sz w:val="22"/>
          <w:szCs w:val="22"/>
          <w:lang w:eastAsia="en-GB"/>
        </w:rPr>
        <w:t>E</w:t>
      </w:r>
      <w:r w:rsidRPr="002B6F52">
        <w:rPr>
          <w:rFonts w:asciiTheme="minorHAnsi" w:eastAsia="Arial" w:hAnsiTheme="minorHAnsi" w:cstheme="minorHAnsi"/>
          <w:b/>
          <w:bCs/>
          <w:color w:val="auto"/>
          <w:sz w:val="22"/>
          <w:szCs w:val="22"/>
          <w:lang w:eastAsia="en-GB"/>
        </w:rPr>
        <w:tab/>
        <w:t>Developing the Entity’s Capacity, Including the Capacity of its Leadership and the Individuals Within it</w:t>
      </w: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tabs>
          <w:tab w:val="left" w:pos="394"/>
        </w:tabs>
        <w:spacing w:after="220"/>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‘Local government needs appropriate structures and leadership, as well as people with the right skills, appropriate qualifications and mind-set, to operate efficiently and effectively and achieve intended outcomes within the specified periods. A local government organisation must ensure that it has both the capacity to fulfil its own mandate and to make certain that there are policies in place to guarantee that its management has the operational capacity for the organisation as a whole. Because both individuals and the environment in which an organisation operates will change over time, there will be a continuous need to develop its capacity as well as the skills and experience of individual staff members. Leadership in local government is strengthened by the participation of people with many different types of backgrounds, reflecting the structure and diversity of communities.’</w:t>
      </w:r>
    </w:p>
    <w:p w:rsidR="00D552D0" w:rsidRPr="002B6F52" w:rsidRDefault="00D552D0" w:rsidP="00D552D0">
      <w:pPr>
        <w:keepNext/>
        <w:keepLines/>
        <w:jc w:val="both"/>
        <w:rPr>
          <w:rFonts w:asciiTheme="minorHAnsi" w:hAnsiTheme="minorHAnsi" w:cstheme="minorHAnsi"/>
          <w:b/>
          <w:color w:val="auto"/>
          <w:sz w:val="22"/>
          <w:szCs w:val="22"/>
          <w:u w:val="single"/>
        </w:rPr>
      </w:pPr>
      <w:r w:rsidRPr="002B6F52">
        <w:rPr>
          <w:rFonts w:asciiTheme="minorHAnsi" w:hAnsiTheme="minorHAnsi" w:cstheme="minorHAnsi"/>
          <w:b/>
          <w:color w:val="auto"/>
          <w:sz w:val="22"/>
          <w:szCs w:val="22"/>
          <w:u w:val="single"/>
        </w:rPr>
        <w:t>Outcomes</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ensure that the Leader and Chief Executive have clearly defined and distinctive leadership roles within a structure whereby the Chief Executive leads the authority in implementing strategy and managing the delivery of services and other outputs set by Members and each provides a check and a balance for each other’s authority.</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develop the capabilities of the Members and senior management to achieve effective shared leadership and to enable the organisation to respond successfully to changing legal and policy demands as well as economic, political and environmental risks by ensuring Members and staff have access to appropriate induction tailored to their role and that ongoing training and development matching individual and organisational requirement is available and encouraged.</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hold staff to account through regular performance reviews which take account of training or development needs.</w:t>
      </w:r>
    </w:p>
    <w:p w:rsidR="0041294D" w:rsidRPr="002B6F52" w:rsidRDefault="0041294D" w:rsidP="0041294D">
      <w:pPr>
        <w:jc w:val="both"/>
        <w:rPr>
          <w:rFonts w:asciiTheme="minorHAnsi" w:hAnsiTheme="minorHAnsi" w:cstheme="minorHAnsi"/>
          <w:b/>
          <w:color w:val="auto"/>
          <w:sz w:val="22"/>
          <w:szCs w:val="22"/>
        </w:rPr>
      </w:pP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spacing w:after="242" w:line="246" w:lineRule="exact"/>
        <w:ind w:left="720" w:hanging="720"/>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b/>
          <w:bCs/>
          <w:color w:val="auto"/>
          <w:sz w:val="22"/>
          <w:szCs w:val="22"/>
          <w:lang w:eastAsia="en-GB"/>
        </w:rPr>
        <w:t>F</w:t>
      </w:r>
      <w:r w:rsidRPr="002B6F52">
        <w:rPr>
          <w:rFonts w:asciiTheme="minorHAnsi" w:eastAsia="Arial" w:hAnsiTheme="minorHAnsi" w:cstheme="minorHAnsi"/>
          <w:b/>
          <w:bCs/>
          <w:color w:val="auto"/>
          <w:sz w:val="22"/>
          <w:szCs w:val="22"/>
          <w:lang w:eastAsia="en-GB"/>
        </w:rPr>
        <w:tab/>
        <w:t>Managing Risks and Performance through Robust Internal Control and Strong Public Finance Management</w:t>
      </w: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tabs>
          <w:tab w:val="left" w:pos="399"/>
        </w:tabs>
        <w:spacing w:after="220"/>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‘Local government needs to ensure that the organisations and governance structures that it oversees have implemented, and can sustain, an effective performance management system that facilitates effective and efficient delivery of planned services. Risk management and internal control are important and integral parts of a performance management system and are crucial to the achievement of outcomes. Risk should be considered and addressed as part of all decision-making activities.</w:t>
      </w: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tabs>
          <w:tab w:val="left" w:pos="399"/>
        </w:tabs>
        <w:spacing w:after="220"/>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A strong system of financial management is essential for the implementation of policies and the achievement of intended outcomes, as it will enforce financial discipline, strategic allocation of resources, efficient service delivery and accountability.</w:t>
      </w:r>
    </w:p>
    <w:p w:rsidR="00D552D0" w:rsidRPr="002B6F52" w:rsidRDefault="00D552D0" w:rsidP="00D552D0">
      <w:pPr>
        <w:widowControl w:val="0"/>
        <w:pBdr>
          <w:top w:val="single" w:sz="4" w:space="1" w:color="auto"/>
          <w:left w:val="single" w:sz="4" w:space="4" w:color="auto"/>
          <w:bottom w:val="single" w:sz="4" w:space="1" w:color="auto"/>
          <w:right w:val="single" w:sz="4" w:space="4" w:color="auto"/>
        </w:pBdr>
        <w:tabs>
          <w:tab w:val="left" w:pos="399"/>
        </w:tabs>
        <w:spacing w:after="220"/>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It is also essential that a culture and structure for scrutiny are in place as a key part of accountable decision making, policy making and review. A positive working culture that accepts, promotes and encourages constructive challenge is critical to successful scrutiny and successful service delivery. Importantly, this culture does not happen automatically, it requires repeated public commitment from those in authority.’</w:t>
      </w:r>
    </w:p>
    <w:p w:rsidR="00D552D0" w:rsidRPr="002B6F52" w:rsidRDefault="00D552D0" w:rsidP="00D552D0">
      <w:pPr>
        <w:keepNext/>
        <w:keepLines/>
        <w:jc w:val="both"/>
        <w:rPr>
          <w:rFonts w:asciiTheme="minorHAnsi" w:hAnsiTheme="minorHAnsi" w:cstheme="minorHAnsi"/>
          <w:b/>
          <w:color w:val="auto"/>
          <w:sz w:val="22"/>
          <w:szCs w:val="22"/>
          <w:u w:val="single"/>
        </w:rPr>
      </w:pPr>
      <w:r w:rsidRPr="002B6F52">
        <w:rPr>
          <w:rFonts w:asciiTheme="minorHAnsi" w:hAnsiTheme="minorHAnsi" w:cstheme="minorHAnsi"/>
          <w:b/>
          <w:color w:val="auto"/>
          <w:sz w:val="22"/>
          <w:szCs w:val="22"/>
          <w:u w:val="single"/>
        </w:rPr>
        <w:t>Outcomes</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recognise that risk management is an integral part of all activities and must be considered in all aspects of decision making.</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lastRenderedPageBreak/>
        <w:t>We ensure that well-developed financial management is integrated at all levels of planning and control.</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ensure that there is an effective scrutiny function in place which provides constructive challenge and debate on policies and objectives before, during and after decisions are made.</w:t>
      </w:r>
    </w:p>
    <w:p w:rsidR="00D552D0" w:rsidRPr="002B6F52" w:rsidRDefault="00D552D0" w:rsidP="00D552D0">
      <w:pPr>
        <w:jc w:val="both"/>
        <w:rPr>
          <w:rFonts w:asciiTheme="minorHAnsi" w:hAnsiTheme="minorHAnsi" w:cstheme="minorHAnsi"/>
          <w:color w:val="auto"/>
          <w:sz w:val="22"/>
          <w:szCs w:val="22"/>
        </w:rPr>
      </w:pPr>
    </w:p>
    <w:p w:rsidR="00D552D0" w:rsidRPr="002B6F52" w:rsidRDefault="00D552D0" w:rsidP="00D552D0">
      <w:pPr>
        <w:widowControl w:val="0"/>
        <w:pBdr>
          <w:top w:val="single" w:sz="4" w:space="2" w:color="auto"/>
          <w:left w:val="single" w:sz="4" w:space="4" w:color="auto"/>
          <w:bottom w:val="single" w:sz="4" w:space="1" w:color="auto"/>
          <w:right w:val="single" w:sz="4" w:space="4" w:color="auto"/>
        </w:pBdr>
        <w:spacing w:after="242" w:line="246" w:lineRule="exact"/>
        <w:ind w:left="720" w:hanging="720"/>
        <w:jc w:val="both"/>
        <w:rPr>
          <w:rFonts w:asciiTheme="minorHAnsi" w:eastAsia="Arial" w:hAnsiTheme="minorHAnsi" w:cstheme="minorHAnsi"/>
          <w:b/>
          <w:bCs/>
          <w:color w:val="auto"/>
          <w:sz w:val="22"/>
          <w:szCs w:val="22"/>
          <w:lang w:eastAsia="en-GB"/>
        </w:rPr>
      </w:pPr>
      <w:r w:rsidRPr="002B6F52">
        <w:rPr>
          <w:rFonts w:asciiTheme="minorHAnsi" w:eastAsia="Arial" w:hAnsiTheme="minorHAnsi" w:cstheme="minorHAnsi"/>
          <w:b/>
          <w:bCs/>
          <w:color w:val="auto"/>
          <w:sz w:val="22"/>
          <w:szCs w:val="22"/>
          <w:lang w:eastAsia="en-GB"/>
        </w:rPr>
        <w:t>G</w:t>
      </w:r>
      <w:r w:rsidRPr="002B6F52">
        <w:rPr>
          <w:rFonts w:asciiTheme="minorHAnsi" w:eastAsia="Arial" w:hAnsiTheme="minorHAnsi" w:cstheme="minorHAnsi"/>
          <w:b/>
          <w:bCs/>
          <w:color w:val="auto"/>
          <w:sz w:val="22"/>
          <w:szCs w:val="22"/>
          <w:lang w:eastAsia="en-GB"/>
        </w:rPr>
        <w:tab/>
        <w:t>Implementing Good Practices in Transparency, Reporting and Audit to Deliver Effective Accountability</w:t>
      </w:r>
    </w:p>
    <w:p w:rsidR="00D552D0" w:rsidRPr="002B6F52" w:rsidRDefault="00D552D0" w:rsidP="00D552D0">
      <w:pPr>
        <w:widowControl w:val="0"/>
        <w:pBdr>
          <w:top w:val="single" w:sz="4" w:space="2" w:color="auto"/>
          <w:left w:val="single" w:sz="4" w:space="4" w:color="auto"/>
          <w:bottom w:val="single" w:sz="4" w:space="1" w:color="auto"/>
          <w:right w:val="single" w:sz="4" w:space="4" w:color="auto"/>
        </w:pBdr>
        <w:tabs>
          <w:tab w:val="left" w:pos="399"/>
        </w:tabs>
        <w:spacing w:after="220"/>
        <w:jc w:val="both"/>
        <w:rPr>
          <w:rFonts w:asciiTheme="minorHAnsi" w:eastAsia="Arial" w:hAnsiTheme="minorHAnsi" w:cstheme="minorHAnsi"/>
          <w:i/>
          <w:color w:val="auto"/>
          <w:sz w:val="22"/>
          <w:szCs w:val="22"/>
          <w:lang w:eastAsia="en-GB"/>
        </w:rPr>
      </w:pPr>
      <w:r w:rsidRPr="002B6F52">
        <w:rPr>
          <w:rFonts w:asciiTheme="minorHAnsi" w:eastAsia="Arial" w:hAnsiTheme="minorHAnsi" w:cstheme="minorHAnsi"/>
          <w:i/>
          <w:color w:val="auto"/>
          <w:sz w:val="22"/>
          <w:szCs w:val="22"/>
          <w:lang w:eastAsia="en-GB"/>
        </w:rPr>
        <w:t xml:space="preserve">‘Accountability is about ensuring that those making decisions and delivering services are answerable for them. Effective accountability is concerned not only with reporting on actions completed, but also ensuring that stakeholders are able to understand and respond as the organisation plans and carries out its activities in a transparent manner. Both External and Internal Audit contribute to effective accountability.’ </w:t>
      </w:r>
    </w:p>
    <w:p w:rsidR="00D552D0" w:rsidRPr="002B6F52" w:rsidRDefault="00D552D0" w:rsidP="00D552D0">
      <w:pPr>
        <w:keepNext/>
        <w:keepLines/>
        <w:jc w:val="both"/>
        <w:rPr>
          <w:rFonts w:asciiTheme="minorHAnsi" w:hAnsiTheme="minorHAnsi" w:cstheme="minorHAnsi"/>
          <w:b/>
          <w:color w:val="auto"/>
          <w:sz w:val="22"/>
          <w:szCs w:val="22"/>
          <w:u w:val="single"/>
        </w:rPr>
      </w:pPr>
      <w:r w:rsidRPr="002B6F52">
        <w:rPr>
          <w:rFonts w:asciiTheme="minorHAnsi" w:hAnsiTheme="minorHAnsi" w:cstheme="minorHAnsi"/>
          <w:b/>
          <w:color w:val="auto"/>
          <w:sz w:val="22"/>
          <w:szCs w:val="22"/>
          <w:u w:val="single"/>
        </w:rPr>
        <w:t>Outcomes</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We ensure that recommendations for corrective action made by Internal and External Audit are acted upon.</w:t>
      </w:r>
    </w:p>
    <w:p w:rsidR="00D552D0" w:rsidRPr="002B6F52" w:rsidRDefault="00D552D0" w:rsidP="00D552D0">
      <w:pPr>
        <w:jc w:val="both"/>
        <w:rPr>
          <w:rFonts w:asciiTheme="minorHAnsi" w:hAnsiTheme="minorHAnsi" w:cstheme="minorHAnsi"/>
          <w:b/>
          <w:i/>
          <w:color w:val="auto"/>
          <w:sz w:val="22"/>
          <w:szCs w:val="22"/>
        </w:rPr>
      </w:pPr>
    </w:p>
    <w:p w:rsidR="00D552D0" w:rsidRPr="002B6F52" w:rsidRDefault="00D552D0" w:rsidP="00D552D0">
      <w:pPr>
        <w:jc w:val="both"/>
        <w:rPr>
          <w:rFonts w:asciiTheme="minorHAnsi" w:hAnsiTheme="minorHAnsi" w:cstheme="minorHAnsi"/>
          <w:b/>
          <w:i/>
          <w:color w:val="auto"/>
          <w:sz w:val="22"/>
          <w:szCs w:val="22"/>
        </w:rPr>
      </w:pPr>
      <w:r w:rsidRPr="002B6F52">
        <w:rPr>
          <w:rFonts w:asciiTheme="minorHAnsi" w:hAnsiTheme="minorHAnsi" w:cstheme="minorHAnsi"/>
          <w:b/>
          <w:i/>
          <w:color w:val="auto"/>
          <w:sz w:val="22"/>
          <w:szCs w:val="22"/>
        </w:rPr>
        <w:t xml:space="preserve">We write and communicate reports for the public and other stakeholders in an understandable style appropriate to the intended audience and ensure that they are easy to access and interrogate. </w:t>
      </w:r>
    </w:p>
    <w:p w:rsidR="00D552D0" w:rsidRPr="002B6F52" w:rsidRDefault="00D552D0" w:rsidP="00D552D0">
      <w:pPr>
        <w:jc w:val="both"/>
        <w:rPr>
          <w:rFonts w:asciiTheme="minorHAnsi" w:hAnsiTheme="minorHAnsi" w:cstheme="minorHAnsi"/>
          <w:b/>
          <w:i/>
          <w:color w:val="auto"/>
          <w:sz w:val="22"/>
          <w:szCs w:val="22"/>
        </w:rPr>
      </w:pPr>
    </w:p>
    <w:p w:rsidR="0041294D" w:rsidRPr="002B6F52" w:rsidRDefault="00D552D0" w:rsidP="0041294D">
      <w:pPr>
        <w:jc w:val="both"/>
        <w:rPr>
          <w:rFonts w:asciiTheme="minorHAnsi" w:hAnsiTheme="minorHAnsi" w:cstheme="minorHAnsi"/>
          <w:b/>
          <w:color w:val="auto"/>
          <w:sz w:val="22"/>
          <w:szCs w:val="22"/>
        </w:rPr>
      </w:pPr>
      <w:r w:rsidRPr="002B6F52">
        <w:rPr>
          <w:rFonts w:asciiTheme="minorHAnsi" w:hAnsiTheme="minorHAnsi" w:cstheme="minorHAnsi"/>
          <w:b/>
          <w:i/>
          <w:color w:val="auto"/>
          <w:sz w:val="22"/>
          <w:szCs w:val="22"/>
        </w:rPr>
        <w:t>We welcome peer challenge, reviews and inspections from regulatory bodies and implement recommendations.</w:t>
      </w:r>
    </w:p>
    <w:sectPr w:rsidR="0041294D" w:rsidRPr="002B6F52" w:rsidSect="008C18B8">
      <w:headerReference w:type="default" r:id="rId6"/>
      <w:pgSz w:w="11907" w:h="16840" w:code="9"/>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9A" w:rsidRDefault="00491DD7">
      <w:r>
        <w:separator/>
      </w:r>
    </w:p>
  </w:endnote>
  <w:endnote w:type="continuationSeparator" w:id="0">
    <w:p w:rsidR="00DE5E9A" w:rsidRDefault="0049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9A" w:rsidRDefault="00491DD7">
      <w:r>
        <w:separator/>
      </w:r>
    </w:p>
  </w:footnote>
  <w:footnote w:type="continuationSeparator" w:id="0">
    <w:p w:rsidR="00DE5E9A" w:rsidRDefault="0049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E3" w:rsidRPr="00A513E3" w:rsidRDefault="0041294D" w:rsidP="00A513E3">
    <w:pPr>
      <w:jc w:val="right"/>
      <w:rPr>
        <w:rFonts w:ascii="Calibri" w:hAnsi="Calibri"/>
        <w:b/>
        <w:bCs/>
        <w:color w:val="auto"/>
        <w:sz w:val="28"/>
        <w:szCs w:val="28"/>
      </w:rPr>
    </w:pPr>
    <w:r>
      <w:rPr>
        <w:rFonts w:ascii="Calibri" w:hAnsi="Calibri"/>
        <w:b/>
        <w:bCs/>
        <w:color w:val="auto"/>
        <w:sz w:val="28"/>
        <w:szCs w:val="28"/>
      </w:rPr>
      <w:t>APPENDIX B</w:t>
    </w:r>
  </w:p>
  <w:p w:rsidR="00A513E3" w:rsidRDefault="00157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4D"/>
    <w:rsid w:val="000156F9"/>
    <w:rsid w:val="0015770A"/>
    <w:rsid w:val="001A77A3"/>
    <w:rsid w:val="002B6F52"/>
    <w:rsid w:val="003335FF"/>
    <w:rsid w:val="0041294D"/>
    <w:rsid w:val="00491DD7"/>
    <w:rsid w:val="006B1973"/>
    <w:rsid w:val="007510C8"/>
    <w:rsid w:val="00767D1F"/>
    <w:rsid w:val="008452EF"/>
    <w:rsid w:val="009D0E10"/>
    <w:rsid w:val="00A543F9"/>
    <w:rsid w:val="00C427B9"/>
    <w:rsid w:val="00CD1EEC"/>
    <w:rsid w:val="00D552D0"/>
    <w:rsid w:val="00DE5E9A"/>
    <w:rsid w:val="00E5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B6A9A-8EB9-495E-B165-D48E66D6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4D"/>
    <w:pPr>
      <w:spacing w:after="0" w:line="240" w:lineRule="auto"/>
    </w:pPr>
    <w:rPr>
      <w:rFonts w:ascii="Times New Roman" w:eastAsia="Times New Roman" w:hAnsi="Times New Roman" w:cs="Times New Roman"/>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294D"/>
    <w:pPr>
      <w:tabs>
        <w:tab w:val="center" w:pos="4153"/>
        <w:tab w:val="right" w:pos="8306"/>
      </w:tabs>
    </w:pPr>
  </w:style>
  <w:style w:type="character" w:customStyle="1" w:styleId="HeaderChar">
    <w:name w:val="Header Char"/>
    <w:basedOn w:val="DefaultParagraphFont"/>
    <w:link w:val="Header"/>
    <w:rsid w:val="0041294D"/>
    <w:rPr>
      <w:rFonts w:ascii="Times New Roman" w:eastAsia="Times New Roman" w:hAnsi="Times New Roman" w:cs="Times New Roman"/>
      <w:color w:val="000080"/>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41294D"/>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41294D"/>
    <w:pPr>
      <w:widowControl w:val="0"/>
      <w:shd w:val="clear" w:color="auto" w:fill="FFFFFF"/>
      <w:spacing w:after="80" w:line="485" w:lineRule="exact"/>
      <w:ind w:hanging="620"/>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11729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Jane</dc:creator>
  <cp:keywords/>
  <dc:description/>
  <cp:lastModifiedBy>Irving, Jane</cp:lastModifiedBy>
  <cp:revision>2</cp:revision>
  <dcterms:created xsi:type="dcterms:W3CDTF">2021-05-19T09:36:00Z</dcterms:created>
  <dcterms:modified xsi:type="dcterms:W3CDTF">2021-05-19T09:36:00Z</dcterms:modified>
</cp:coreProperties>
</file>