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CD" w:rsidRDefault="00206ECD">
      <w:pPr>
        <w:rPr>
          <w:noProof/>
          <w:lang w:eastAsia="en-GB"/>
        </w:rPr>
      </w:pPr>
    </w:p>
    <w:p w:rsidR="00BC1856" w:rsidRDefault="00BC1856">
      <w:pPr>
        <w:rPr>
          <w:noProof/>
          <w:lang w:eastAsia="en-GB"/>
        </w:rPr>
      </w:pPr>
    </w:p>
    <w:p w:rsidR="00BC1856" w:rsidRDefault="00BC1856">
      <w:pPr>
        <w:rPr>
          <w:noProof/>
          <w:lang w:eastAsia="en-GB"/>
        </w:rPr>
      </w:pPr>
    </w:p>
    <w:p w:rsidR="00BC1856" w:rsidRDefault="00BC1856">
      <w:pPr>
        <w:rPr>
          <w:noProof/>
          <w:lang w:eastAsia="en-GB"/>
        </w:rPr>
      </w:pPr>
    </w:p>
    <w:p w:rsidR="00BC1856" w:rsidRDefault="00BC1856">
      <w:r>
        <w:rPr>
          <w:noProof/>
          <w:lang w:eastAsia="en-GB"/>
        </w:rPr>
        <w:drawing>
          <wp:inline distT="0" distB="0" distL="0" distR="0" wp14:anchorId="5B8420D4" wp14:editId="76EC4119">
            <wp:extent cx="5731510" cy="30372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56" w:rsidRDefault="00BC1856" w:rsidP="00BC1856">
      <w:pPr>
        <w:jc w:val="center"/>
        <w:rPr>
          <w:b/>
          <w:sz w:val="40"/>
          <w:szCs w:val="40"/>
        </w:rPr>
      </w:pPr>
    </w:p>
    <w:p w:rsidR="00BC1856" w:rsidRDefault="00BC1856" w:rsidP="00BC1856">
      <w:pPr>
        <w:jc w:val="center"/>
        <w:rPr>
          <w:b/>
          <w:sz w:val="40"/>
          <w:szCs w:val="40"/>
        </w:rPr>
      </w:pPr>
    </w:p>
    <w:p w:rsidR="00BC1856" w:rsidRDefault="00BC1856" w:rsidP="00BC1856">
      <w:pPr>
        <w:jc w:val="center"/>
        <w:rPr>
          <w:b/>
          <w:sz w:val="40"/>
          <w:szCs w:val="40"/>
        </w:rPr>
      </w:pPr>
      <w:r w:rsidRPr="00E707D0">
        <w:rPr>
          <w:b/>
          <w:sz w:val="40"/>
          <w:szCs w:val="40"/>
        </w:rPr>
        <w:t>Lichfield District Council</w:t>
      </w:r>
    </w:p>
    <w:p w:rsidR="00BC1856" w:rsidRPr="000A382C" w:rsidRDefault="00BC1856" w:rsidP="00BC1856">
      <w:pPr>
        <w:jc w:val="center"/>
        <w:rPr>
          <w:b/>
          <w:sz w:val="40"/>
          <w:szCs w:val="40"/>
        </w:rPr>
      </w:pPr>
      <w:r w:rsidRPr="000A382C">
        <w:rPr>
          <w:b/>
          <w:sz w:val="40"/>
          <w:szCs w:val="40"/>
        </w:rPr>
        <w:t xml:space="preserve">Community Infrastructure Levy </w:t>
      </w:r>
    </w:p>
    <w:p w:rsidR="00BC1856" w:rsidRDefault="003A46C1" w:rsidP="00BC18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CIL Charging Schedule</w:t>
      </w:r>
    </w:p>
    <w:p w:rsidR="003A46C1" w:rsidRDefault="003A46C1" w:rsidP="00BC18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Indexation Update 2019</w:t>
      </w:r>
    </w:p>
    <w:p w:rsidR="00BC1856" w:rsidRDefault="00BC1856" w:rsidP="00BC1856">
      <w:pPr>
        <w:jc w:val="center"/>
        <w:rPr>
          <w:b/>
          <w:sz w:val="40"/>
          <w:szCs w:val="40"/>
        </w:rPr>
      </w:pPr>
    </w:p>
    <w:p w:rsidR="00BC1856" w:rsidRDefault="00BC1856" w:rsidP="00BC1856">
      <w:pPr>
        <w:jc w:val="center"/>
        <w:rPr>
          <w:b/>
          <w:sz w:val="40"/>
          <w:szCs w:val="40"/>
        </w:rPr>
      </w:pPr>
    </w:p>
    <w:p w:rsidR="00BC1856" w:rsidRDefault="00BC1856" w:rsidP="00BC1856">
      <w:pPr>
        <w:jc w:val="center"/>
        <w:rPr>
          <w:b/>
          <w:sz w:val="40"/>
          <w:szCs w:val="40"/>
        </w:rPr>
      </w:pPr>
    </w:p>
    <w:p w:rsidR="00BC1856" w:rsidRPr="000A382C" w:rsidRDefault="006C1A92" w:rsidP="00BC1856">
      <w:pPr>
        <w:jc w:val="right"/>
        <w:rPr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March 2019</w:t>
      </w:r>
      <w:r w:rsidR="00BC1856">
        <w:rPr>
          <w:rFonts w:ascii="Arial" w:hAnsi="Arial" w:cs="Arial"/>
          <w:sz w:val="24"/>
          <w:szCs w:val="24"/>
        </w:rPr>
        <w:t xml:space="preserve">                     </w:t>
      </w:r>
      <w:r w:rsidR="00CE744D">
        <w:rPr>
          <w:rFonts w:ascii="Arial" w:hAnsi="Arial" w:cs="Arial"/>
          <w:sz w:val="24"/>
          <w:szCs w:val="24"/>
        </w:rPr>
        <w:t xml:space="preserve">   </w:t>
      </w:r>
      <w:r w:rsidR="00BC185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BC1856">
        <w:rPr>
          <w:b/>
          <w:sz w:val="40"/>
          <w:szCs w:val="40"/>
        </w:rPr>
        <w:t xml:space="preserve"> </w:t>
      </w:r>
      <w:r w:rsidR="00BC1856">
        <w:rPr>
          <w:b/>
          <w:noProof/>
          <w:sz w:val="32"/>
          <w:szCs w:val="32"/>
          <w:lang w:eastAsia="en-GB"/>
        </w:rPr>
        <w:drawing>
          <wp:inline distT="0" distB="0" distL="0" distR="0" wp14:anchorId="1A610624" wp14:editId="1735485B">
            <wp:extent cx="2030400" cy="943200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1A5" w:rsidRDefault="004F51A5" w:rsidP="004F51A5">
      <w:pPr>
        <w:pStyle w:val="ListParagraph"/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F51A5" w:rsidRDefault="00D16A6D" w:rsidP="00D16A6D">
      <w:pPr>
        <w:pStyle w:val="ListParagraph"/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Effect of Indexation on Lichfield District Council’s Charging Schedule Rates from 2 January 2019</w:t>
      </w:r>
    </w:p>
    <w:p w:rsidR="003715D7" w:rsidRDefault="003715D7" w:rsidP="00D16A6D">
      <w:pPr>
        <w:pStyle w:val="ListParagraph"/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F51A5" w:rsidRPr="004F51A5" w:rsidRDefault="004F51A5" w:rsidP="004F51A5">
      <w:pPr>
        <w:pStyle w:val="ListParagraph"/>
        <w:spacing w:after="240" w:line="276" w:lineRule="auto"/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3040"/>
        <w:gridCol w:w="1633"/>
        <w:gridCol w:w="1701"/>
        <w:gridCol w:w="1701"/>
        <w:gridCol w:w="1843"/>
      </w:tblGrid>
      <w:tr w:rsidR="005E5925" w:rsidTr="005E5925">
        <w:trPr>
          <w:jc w:val="center"/>
        </w:trPr>
        <w:tc>
          <w:tcPr>
            <w:tcW w:w="3040" w:type="dxa"/>
            <w:shd w:val="clear" w:color="auto" w:fill="BFBFBF" w:themeFill="background1" w:themeFillShade="BF"/>
          </w:tcPr>
          <w:p w:rsidR="005E5925" w:rsidRDefault="005E5925" w:rsidP="002E137F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Use</w:t>
            </w:r>
          </w:p>
        </w:tc>
        <w:tc>
          <w:tcPr>
            <w:tcW w:w="1633" w:type="dxa"/>
            <w:shd w:val="clear" w:color="auto" w:fill="BFBFBF" w:themeFill="background1" w:themeFillShade="BF"/>
          </w:tcPr>
          <w:p w:rsidR="005E5925" w:rsidRDefault="005E5925" w:rsidP="002E137F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2016 CIL Charge (per sq. m)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E5925" w:rsidRDefault="005E5925" w:rsidP="006C1A92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Indexed CIL Charge from 2 January 2017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E5925" w:rsidRDefault="005E5925" w:rsidP="006C1A92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Indexed CIL Charge from 2 January 2018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5E5925" w:rsidRDefault="005E5925" w:rsidP="005E592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Indexed CIL Charge from 2 January 2019</w:t>
            </w:r>
          </w:p>
        </w:tc>
      </w:tr>
      <w:tr w:rsidR="005E5925" w:rsidTr="005E5925">
        <w:trPr>
          <w:jc w:val="center"/>
        </w:trPr>
        <w:tc>
          <w:tcPr>
            <w:tcW w:w="3040" w:type="dxa"/>
          </w:tcPr>
          <w:p w:rsidR="005E5925" w:rsidRPr="002E137F" w:rsidRDefault="005E5925" w:rsidP="000616DB">
            <w:pPr>
              <w:pStyle w:val="ListParagraph"/>
              <w:tabs>
                <w:tab w:val="left" w:pos="3510"/>
              </w:tabs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Market houses within </w:t>
            </w:r>
            <w:r w:rsidRPr="000616D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trategic Development Allocations (SDAs) and t</w:t>
            </w:r>
            <w:r w:rsidRPr="000616DB">
              <w:rPr>
                <w:rFonts w:ascii="Arial" w:hAnsi="Arial" w:cs="Arial"/>
                <w:sz w:val="24"/>
                <w:szCs w:val="24"/>
              </w:rPr>
              <w:t>he B</w:t>
            </w:r>
            <w:r>
              <w:rPr>
                <w:rFonts w:ascii="Arial" w:hAnsi="Arial" w:cs="Arial"/>
                <w:sz w:val="24"/>
                <w:szCs w:val="24"/>
              </w:rPr>
              <w:t xml:space="preserve">road </w:t>
            </w:r>
            <w:r w:rsidRPr="000616DB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evelopment </w:t>
            </w:r>
            <w:r w:rsidRPr="000616DB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ocation (BDL) defined in the Local Plan Strategy 2008-2029 adopted 17 February 2015 </w:t>
            </w:r>
            <w:r w:rsidRPr="000616DB">
              <w:rPr>
                <w:rFonts w:ascii="Arial" w:hAnsi="Arial" w:cs="Arial"/>
                <w:i/>
                <w:sz w:val="24"/>
                <w:szCs w:val="24"/>
              </w:rPr>
              <w:t>(refer to Figure 1 and inset maps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Figures 2 - 9</w:t>
            </w:r>
            <w:r w:rsidRPr="000616DB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£14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£14.90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£16.22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£16.54</w:t>
            </w:r>
          </w:p>
        </w:tc>
      </w:tr>
      <w:tr w:rsidR="005E5925" w:rsidTr="005E5925">
        <w:trPr>
          <w:jc w:val="center"/>
        </w:trPr>
        <w:tc>
          <w:tcPr>
            <w:tcW w:w="3040" w:type="dxa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7F">
              <w:rPr>
                <w:rFonts w:ascii="Arial" w:hAnsi="Arial" w:cs="Arial"/>
                <w:sz w:val="24"/>
                <w:szCs w:val="24"/>
              </w:rPr>
              <w:t>Market houses in lower value zone (refer to Figure 1)</w:t>
            </w:r>
          </w:p>
        </w:tc>
        <w:tc>
          <w:tcPr>
            <w:tcW w:w="1633" w:type="dxa"/>
            <w:vAlign w:val="center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7F">
              <w:rPr>
                <w:rFonts w:ascii="Arial" w:hAnsi="Arial" w:cs="Arial"/>
                <w:sz w:val="24"/>
                <w:szCs w:val="24"/>
              </w:rPr>
              <w:t>£25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£26.66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£28.98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£29.53</w:t>
            </w:r>
          </w:p>
        </w:tc>
      </w:tr>
      <w:tr w:rsidR="005E5925" w:rsidTr="005E5925">
        <w:trPr>
          <w:trHeight w:val="70"/>
          <w:jc w:val="center"/>
        </w:trPr>
        <w:tc>
          <w:tcPr>
            <w:tcW w:w="3040" w:type="dxa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37F">
              <w:rPr>
                <w:rFonts w:ascii="Arial" w:hAnsi="Arial" w:cs="Arial"/>
                <w:sz w:val="24"/>
                <w:szCs w:val="24"/>
              </w:rPr>
              <w:t>Market houses in higher value zone (refer to Figure 1)</w:t>
            </w:r>
          </w:p>
        </w:tc>
        <w:tc>
          <w:tcPr>
            <w:tcW w:w="1633" w:type="dxa"/>
            <w:vAlign w:val="center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£55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£58.66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£63.75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£64.98</w:t>
            </w:r>
          </w:p>
        </w:tc>
      </w:tr>
      <w:tr w:rsidR="005E5925" w:rsidTr="005E5925">
        <w:trPr>
          <w:jc w:val="center"/>
        </w:trPr>
        <w:tc>
          <w:tcPr>
            <w:tcW w:w="3040" w:type="dxa"/>
          </w:tcPr>
          <w:p w:rsidR="005E5925" w:rsidRPr="002E137F" w:rsidRDefault="005E5925" w:rsidP="006871CA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Supermarket</w:t>
            </w:r>
          </w:p>
        </w:tc>
        <w:tc>
          <w:tcPr>
            <w:tcW w:w="1633" w:type="dxa"/>
            <w:vAlign w:val="center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£160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£170.66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£185.48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£189.03</w:t>
            </w:r>
          </w:p>
        </w:tc>
      </w:tr>
      <w:tr w:rsidR="005E5925" w:rsidTr="005E5925">
        <w:trPr>
          <w:jc w:val="center"/>
        </w:trPr>
        <w:tc>
          <w:tcPr>
            <w:tcW w:w="3040" w:type="dxa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Retail Warehouse</w:t>
            </w:r>
          </w:p>
        </w:tc>
        <w:tc>
          <w:tcPr>
            <w:tcW w:w="1633" w:type="dxa"/>
            <w:vAlign w:val="center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£70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£74.66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£81.15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£82.70</w:t>
            </w:r>
          </w:p>
        </w:tc>
      </w:tr>
      <w:tr w:rsidR="005E5925" w:rsidTr="005E5925">
        <w:trPr>
          <w:jc w:val="center"/>
        </w:trPr>
        <w:tc>
          <w:tcPr>
            <w:tcW w:w="3040" w:type="dxa"/>
          </w:tcPr>
          <w:p w:rsidR="005E5925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Neighbourhood Convenience Retail</w:t>
            </w:r>
          </w:p>
        </w:tc>
        <w:tc>
          <w:tcPr>
            <w:tcW w:w="1633" w:type="dxa"/>
            <w:vAlign w:val="center"/>
          </w:tcPr>
          <w:p w:rsidR="005E5925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£21.33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£23.18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£23.63</w:t>
            </w:r>
          </w:p>
        </w:tc>
      </w:tr>
      <w:tr w:rsidR="005E5925" w:rsidTr="005E5925">
        <w:trPr>
          <w:jc w:val="center"/>
        </w:trPr>
        <w:tc>
          <w:tcPr>
            <w:tcW w:w="3040" w:type="dxa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other development including residential apartments</w:t>
            </w:r>
          </w:p>
        </w:tc>
        <w:tc>
          <w:tcPr>
            <w:tcW w:w="1633" w:type="dxa"/>
            <w:vAlign w:val="center"/>
          </w:tcPr>
          <w:p w:rsidR="005E5925" w:rsidRPr="002E137F" w:rsidRDefault="005E5925" w:rsidP="00B3449C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  <w:tc>
          <w:tcPr>
            <w:tcW w:w="1701" w:type="dxa"/>
            <w:vAlign w:val="center"/>
          </w:tcPr>
          <w:p w:rsidR="005E5925" w:rsidRDefault="005E5925" w:rsidP="005E5925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£0</w:t>
            </w:r>
          </w:p>
        </w:tc>
        <w:tc>
          <w:tcPr>
            <w:tcW w:w="1843" w:type="dxa"/>
            <w:vAlign w:val="center"/>
          </w:tcPr>
          <w:p w:rsidR="005E5925" w:rsidRPr="00C36258" w:rsidRDefault="005E5925" w:rsidP="006C1A92">
            <w:pPr>
              <w:pStyle w:val="ListParagraph"/>
              <w:spacing w:before="120" w:after="120" w:line="276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258">
              <w:rPr>
                <w:rFonts w:ascii="Arial" w:hAnsi="Arial" w:cs="Arial"/>
                <w:b/>
                <w:sz w:val="24"/>
                <w:szCs w:val="24"/>
              </w:rPr>
              <w:t>£0</w:t>
            </w:r>
          </w:p>
        </w:tc>
      </w:tr>
    </w:tbl>
    <w:p w:rsidR="006871CA" w:rsidRDefault="006871CA" w:rsidP="006871CA">
      <w:pPr>
        <w:pStyle w:val="ListParagraph"/>
        <w:spacing w:line="276" w:lineRule="auto"/>
        <w:rPr>
          <w:rFonts w:ascii="Arial" w:hAnsi="Arial" w:cs="Arial"/>
          <w:b/>
          <w:sz w:val="24"/>
          <w:szCs w:val="24"/>
        </w:rPr>
      </w:pPr>
    </w:p>
    <w:p w:rsidR="005E5925" w:rsidRDefault="005E5925" w:rsidP="00D16A6D">
      <w:pPr>
        <w:jc w:val="both"/>
      </w:pPr>
    </w:p>
    <w:p w:rsidR="005E5925" w:rsidRDefault="005E5925" w:rsidP="00D16A6D">
      <w:pPr>
        <w:jc w:val="both"/>
      </w:pPr>
    </w:p>
    <w:p w:rsidR="005E5925" w:rsidRDefault="005E5925" w:rsidP="00D16A6D">
      <w:pPr>
        <w:jc w:val="both"/>
      </w:pPr>
    </w:p>
    <w:p w:rsidR="005E5925" w:rsidRDefault="005E5925" w:rsidP="00D16A6D">
      <w:pPr>
        <w:jc w:val="both"/>
      </w:pPr>
    </w:p>
    <w:p w:rsidR="005E5925" w:rsidRDefault="005E5925" w:rsidP="00D16A6D">
      <w:pPr>
        <w:jc w:val="both"/>
      </w:pPr>
    </w:p>
    <w:p w:rsidR="005E5925" w:rsidRDefault="005E5925" w:rsidP="00D16A6D">
      <w:pPr>
        <w:jc w:val="both"/>
      </w:pPr>
    </w:p>
    <w:p w:rsidR="005E5925" w:rsidRPr="005E5925" w:rsidRDefault="005E5925" w:rsidP="00D16A6D">
      <w:pPr>
        <w:jc w:val="both"/>
        <w:rPr>
          <w:b/>
          <w:sz w:val="24"/>
        </w:rPr>
      </w:pPr>
      <w:r w:rsidRPr="005E5925">
        <w:rPr>
          <w:b/>
          <w:sz w:val="24"/>
        </w:rPr>
        <w:t>Indexation Guidance Note</w:t>
      </w:r>
    </w:p>
    <w:p w:rsidR="003A46C1" w:rsidRDefault="00D16A6D" w:rsidP="00D16A6D">
      <w:pPr>
        <w:jc w:val="both"/>
      </w:pPr>
      <w:r>
        <w:t>All CIL Liability Noti</w:t>
      </w:r>
      <w:r>
        <w:t>ces issued by the Council from 2 January 2017</w:t>
      </w:r>
      <w:r>
        <w:t xml:space="preserve"> will include indexation in the calculation of the chargeable amount. The calculation of the CIL chargeable amount is defined by the CIL Regulations 2010 (as amended). </w:t>
      </w:r>
    </w:p>
    <w:p w:rsidR="00D25C78" w:rsidRDefault="00D16A6D" w:rsidP="00D16A6D">
      <w:pPr>
        <w:jc w:val="both"/>
      </w:pPr>
      <w:r>
        <w:t>The index that must be used is set by the C</w:t>
      </w:r>
      <w:r w:rsidR="003A46C1">
        <w:t>IL Regulations</w:t>
      </w:r>
      <w:r>
        <w:t xml:space="preserve"> and is the BCIS All-In Tender Price Index. The indexed rat</w:t>
      </w:r>
      <w:r>
        <w:t>e for any given year is set on 2 January</w:t>
      </w:r>
      <w:r>
        <w:t xml:space="preserve"> and uses the index figure for 1 November of the preceding year</w:t>
      </w:r>
      <w:r w:rsidR="003A46C1">
        <w:t>.</w:t>
      </w:r>
    </w:p>
    <w:p w:rsidR="003A46C1" w:rsidRDefault="003A46C1" w:rsidP="00D16A6D">
      <w:pPr>
        <w:jc w:val="both"/>
      </w:pPr>
    </w:p>
    <w:p w:rsidR="00D25C78" w:rsidRDefault="003A46C1" w:rsidP="00D16A6D">
      <w:pPr>
        <w:jc w:val="both"/>
        <w:rPr>
          <w:b/>
        </w:rPr>
      </w:pPr>
      <w:r>
        <w:rPr>
          <w:b/>
        </w:rPr>
        <w:t>Calculation of the Chargeable Amount</w:t>
      </w:r>
    </w:p>
    <w:p w:rsidR="00D25C78" w:rsidRDefault="00C36258" w:rsidP="00D16A6D">
      <w:pPr>
        <w:jc w:val="both"/>
      </w:pPr>
      <w:r>
        <w:t>The calculation of the CIL chargeable amount is set out in Regulation 40 of the Community Infrastructure Le</w:t>
      </w:r>
      <w:r>
        <w:t xml:space="preserve">vy Regulations 2010 (as amended). </w:t>
      </w:r>
      <w:r>
        <w:t>CIL is calculated by multiplying the net increase in gross internal floor area (</w:t>
      </w:r>
      <w:proofErr w:type="spellStart"/>
      <w:r>
        <w:t>sqm</w:t>
      </w:r>
      <w:proofErr w:type="spellEnd"/>
      <w:r>
        <w:t>) by the relevant CIL rate (£/</w:t>
      </w:r>
      <w:proofErr w:type="spellStart"/>
      <w:r>
        <w:t>sqm</w:t>
      </w:r>
      <w:proofErr w:type="spellEnd"/>
      <w:r>
        <w:t>), plus any indexing for inflation/deflation (between the year in which planning permission was granted and the year in which the charging schedule took effect</w:t>
      </w:r>
      <w:r>
        <w:t>.</w:t>
      </w:r>
    </w:p>
    <w:p w:rsidR="00C36258" w:rsidRDefault="00C36258" w:rsidP="00D16A6D">
      <w:pPr>
        <w:jc w:val="both"/>
      </w:pPr>
    </w:p>
    <w:p w:rsidR="00C36258" w:rsidRPr="00C36258" w:rsidRDefault="00C36258" w:rsidP="00C36258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5FB3D108" wp14:editId="1067055D">
            <wp:extent cx="1028700" cy="523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258" w:rsidRPr="00C36258" w:rsidRDefault="00C36258" w:rsidP="00C36258">
      <w:pPr>
        <w:jc w:val="both"/>
        <w:rPr>
          <w:b/>
        </w:rPr>
      </w:pPr>
      <w:r w:rsidRPr="00C36258">
        <w:rPr>
          <w:b/>
        </w:rPr>
        <w:t>Where:</w:t>
      </w:r>
    </w:p>
    <w:p w:rsidR="00C36258" w:rsidRPr="00C36258" w:rsidRDefault="00C36258" w:rsidP="00C36258">
      <w:pPr>
        <w:pStyle w:val="ListParagraph"/>
        <w:numPr>
          <w:ilvl w:val="0"/>
          <w:numId w:val="6"/>
        </w:numPr>
        <w:spacing w:before="240" w:line="360" w:lineRule="auto"/>
        <w:jc w:val="both"/>
      </w:pPr>
      <w:r w:rsidRPr="00C36258">
        <w:t>R is the CIL rate in £/</w:t>
      </w:r>
      <w:proofErr w:type="spellStart"/>
      <w:r w:rsidRPr="00C36258">
        <w:t>sqm</w:t>
      </w:r>
      <w:proofErr w:type="spellEnd"/>
    </w:p>
    <w:p w:rsidR="00C36258" w:rsidRPr="00C36258" w:rsidRDefault="00C36258" w:rsidP="00C36258">
      <w:pPr>
        <w:pStyle w:val="ListParagraph"/>
        <w:numPr>
          <w:ilvl w:val="0"/>
          <w:numId w:val="6"/>
        </w:numPr>
        <w:spacing w:before="240" w:line="360" w:lineRule="auto"/>
        <w:jc w:val="both"/>
      </w:pPr>
      <w:r w:rsidRPr="00C36258">
        <w:t>A is the net increase in gross internal floor area (</w:t>
      </w:r>
      <w:proofErr w:type="spellStart"/>
      <w:r w:rsidRPr="00C36258">
        <w:t>sqm</w:t>
      </w:r>
      <w:proofErr w:type="spellEnd"/>
      <w:r w:rsidRPr="00C36258">
        <w:t>)</w:t>
      </w:r>
    </w:p>
    <w:p w:rsidR="00C36258" w:rsidRPr="00C36258" w:rsidRDefault="00C36258" w:rsidP="00C36258">
      <w:pPr>
        <w:pStyle w:val="ListParagraph"/>
        <w:numPr>
          <w:ilvl w:val="0"/>
          <w:numId w:val="6"/>
        </w:numPr>
        <w:spacing w:before="240" w:line="360" w:lineRule="auto"/>
        <w:jc w:val="both"/>
      </w:pPr>
      <w:r w:rsidRPr="00C36258">
        <w:t>Ip is the All-in Price Index for the year in which planning permission was granted</w:t>
      </w:r>
    </w:p>
    <w:p w:rsidR="00C36258" w:rsidRDefault="00C36258" w:rsidP="00C36258">
      <w:pPr>
        <w:pStyle w:val="ListParagraph"/>
        <w:numPr>
          <w:ilvl w:val="0"/>
          <w:numId w:val="6"/>
        </w:numPr>
        <w:spacing w:before="240" w:line="360" w:lineRule="auto"/>
        <w:jc w:val="both"/>
      </w:pPr>
      <w:proofErr w:type="spellStart"/>
      <w:r w:rsidRPr="00C36258">
        <w:t>Ic</w:t>
      </w:r>
      <w:proofErr w:type="spellEnd"/>
      <w:r w:rsidRPr="00C36258">
        <w:t xml:space="preserve"> is the All-in Pric</w:t>
      </w:r>
      <w:r>
        <w:t xml:space="preserve">e Index for the year in which </w:t>
      </w:r>
      <w:proofErr w:type="spellStart"/>
      <w:r>
        <w:t>t</w:t>
      </w:r>
      <w:r w:rsidRPr="00C36258">
        <w:t>e</w:t>
      </w:r>
      <w:proofErr w:type="spellEnd"/>
      <w:r w:rsidRPr="00C36258">
        <w:t xml:space="preserve"> charging schedule started operation</w:t>
      </w:r>
    </w:p>
    <w:sectPr w:rsidR="00C36258" w:rsidSect="00A54BEC">
      <w:footerReference w:type="defaul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CA" w:rsidRDefault="006871CA" w:rsidP="006871CA">
      <w:pPr>
        <w:spacing w:after="0" w:line="240" w:lineRule="auto"/>
      </w:pPr>
      <w:r>
        <w:separator/>
      </w:r>
    </w:p>
  </w:endnote>
  <w:endnote w:type="continuationSeparator" w:id="0">
    <w:p w:rsidR="006871CA" w:rsidRDefault="006871CA" w:rsidP="0068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63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4BEC" w:rsidRDefault="00A54B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5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1C76" w:rsidRDefault="00D71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CA" w:rsidRDefault="006871CA" w:rsidP="006871CA">
      <w:pPr>
        <w:spacing w:after="0" w:line="240" w:lineRule="auto"/>
      </w:pPr>
      <w:r>
        <w:separator/>
      </w:r>
    </w:p>
  </w:footnote>
  <w:footnote w:type="continuationSeparator" w:id="0">
    <w:p w:rsidR="006871CA" w:rsidRDefault="006871CA" w:rsidP="0068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316"/>
    <w:multiLevelType w:val="multilevel"/>
    <w:tmpl w:val="2E0A8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326869"/>
    <w:multiLevelType w:val="hybridMultilevel"/>
    <w:tmpl w:val="85B25F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983BFD"/>
    <w:multiLevelType w:val="hybridMultilevel"/>
    <w:tmpl w:val="3264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31F85"/>
    <w:multiLevelType w:val="hybridMultilevel"/>
    <w:tmpl w:val="D61C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77959"/>
    <w:multiLevelType w:val="hybridMultilevel"/>
    <w:tmpl w:val="183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F5968"/>
    <w:multiLevelType w:val="hybridMultilevel"/>
    <w:tmpl w:val="CBD68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56"/>
    <w:rsid w:val="000616DB"/>
    <w:rsid w:val="00083B88"/>
    <w:rsid w:val="001B3CBF"/>
    <w:rsid w:val="00206ECD"/>
    <w:rsid w:val="0026313C"/>
    <w:rsid w:val="002E137F"/>
    <w:rsid w:val="00370077"/>
    <w:rsid w:val="003715D7"/>
    <w:rsid w:val="003A46C1"/>
    <w:rsid w:val="003F4E91"/>
    <w:rsid w:val="004605E9"/>
    <w:rsid w:val="004F51A5"/>
    <w:rsid w:val="005738FD"/>
    <w:rsid w:val="00583D0D"/>
    <w:rsid w:val="005E5925"/>
    <w:rsid w:val="00676847"/>
    <w:rsid w:val="006871CA"/>
    <w:rsid w:val="00690B4B"/>
    <w:rsid w:val="00696EB6"/>
    <w:rsid w:val="006A1D38"/>
    <w:rsid w:val="006C1A92"/>
    <w:rsid w:val="00753C8D"/>
    <w:rsid w:val="00777461"/>
    <w:rsid w:val="007A4100"/>
    <w:rsid w:val="00815C22"/>
    <w:rsid w:val="00823542"/>
    <w:rsid w:val="0083712F"/>
    <w:rsid w:val="00853C5D"/>
    <w:rsid w:val="00862556"/>
    <w:rsid w:val="008A586A"/>
    <w:rsid w:val="0091109E"/>
    <w:rsid w:val="00A54BEC"/>
    <w:rsid w:val="00A8716A"/>
    <w:rsid w:val="00AA1E91"/>
    <w:rsid w:val="00AB55A2"/>
    <w:rsid w:val="00B3449C"/>
    <w:rsid w:val="00B943BE"/>
    <w:rsid w:val="00BC1856"/>
    <w:rsid w:val="00C36258"/>
    <w:rsid w:val="00C56777"/>
    <w:rsid w:val="00C9071C"/>
    <w:rsid w:val="00CE744D"/>
    <w:rsid w:val="00D16A6D"/>
    <w:rsid w:val="00D25C78"/>
    <w:rsid w:val="00D46DB5"/>
    <w:rsid w:val="00D71C76"/>
    <w:rsid w:val="00E721E8"/>
    <w:rsid w:val="00E96891"/>
    <w:rsid w:val="00F96E91"/>
    <w:rsid w:val="00FA43DD"/>
    <w:rsid w:val="00FC45B7"/>
    <w:rsid w:val="00FC4A2D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8F3EA-23BA-4304-9802-E3753791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1A5"/>
    <w:pPr>
      <w:ind w:left="720"/>
      <w:contextualSpacing/>
    </w:pPr>
  </w:style>
  <w:style w:type="table" w:styleId="TableGrid">
    <w:name w:val="Table Grid"/>
    <w:basedOn w:val="TableNormal"/>
    <w:uiPriority w:val="39"/>
    <w:rsid w:val="004F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9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871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1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1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7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76"/>
  </w:style>
  <w:style w:type="paragraph" w:styleId="Footer">
    <w:name w:val="footer"/>
    <w:basedOn w:val="Normal"/>
    <w:link w:val="FooterChar"/>
    <w:uiPriority w:val="99"/>
    <w:unhideWhenUsed/>
    <w:rsid w:val="00D7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6E91-E817-4C9E-9787-9B0BD472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Alison</dc:creator>
  <cp:keywords/>
  <dc:description/>
  <cp:lastModifiedBy>Ross, Melissa</cp:lastModifiedBy>
  <cp:revision>3</cp:revision>
  <cp:lastPrinted>2019-02-20T17:24:00Z</cp:lastPrinted>
  <dcterms:created xsi:type="dcterms:W3CDTF">2019-02-20T16:59:00Z</dcterms:created>
  <dcterms:modified xsi:type="dcterms:W3CDTF">2019-02-20T17:31:00Z</dcterms:modified>
</cp:coreProperties>
</file>