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B90F" w14:textId="2648B574" w:rsidR="00B9297D" w:rsidRDefault="003C79EE" w:rsidP="00B9297D">
      <w:pPr>
        <w:pStyle w:val="Heading1"/>
        <w:spacing w:before="0"/>
        <w:rPr>
          <w:rFonts w:asciiTheme="minorHAnsi" w:hAnsiTheme="minorHAnsi" w:cstheme="minorHAnsi"/>
          <w:b/>
          <w:bCs/>
          <w:color w:val="auto"/>
          <w:lang w:eastAsia="en-US"/>
        </w:rPr>
      </w:pPr>
      <w:r>
        <w:rPr>
          <w:noProof/>
        </w:rPr>
        <w:drawing>
          <wp:anchor distT="0" distB="0" distL="114300" distR="114300" simplePos="0" relativeHeight="251658240" behindDoc="1" locked="0" layoutInCell="1" allowOverlap="1" wp14:anchorId="063F5D71" wp14:editId="3BC5078F">
            <wp:simplePos x="0" y="0"/>
            <wp:positionH relativeFrom="margin">
              <wp:posOffset>3581400</wp:posOffset>
            </wp:positionH>
            <wp:positionV relativeFrom="margin">
              <wp:posOffset>-723900</wp:posOffset>
            </wp:positionV>
            <wp:extent cx="2392680" cy="1283335"/>
            <wp:effectExtent l="0" t="0" r="762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2680" cy="1283335"/>
                    </a:xfrm>
                    <a:prstGeom prst="rect">
                      <a:avLst/>
                    </a:prstGeom>
                    <a:noFill/>
                    <a:ln>
                      <a:noFill/>
                    </a:ln>
                  </pic:spPr>
                </pic:pic>
              </a:graphicData>
            </a:graphic>
          </wp:anchor>
        </w:drawing>
      </w:r>
      <w:r w:rsidR="003D3305" w:rsidRPr="00B9297D">
        <w:rPr>
          <w:rFonts w:asciiTheme="minorHAnsi" w:hAnsiTheme="minorHAnsi" w:cstheme="minorHAnsi"/>
          <w:b/>
          <w:bCs/>
          <w:color w:val="auto"/>
          <w:lang w:eastAsia="en-US"/>
        </w:rPr>
        <w:t>DAY CARE FOR DOGS</w:t>
      </w:r>
      <w:r w:rsidR="00B9297D" w:rsidRPr="00B9297D">
        <w:rPr>
          <w:rFonts w:asciiTheme="minorHAnsi" w:hAnsiTheme="minorHAnsi" w:cstheme="minorHAnsi"/>
          <w:b/>
          <w:bCs/>
          <w:color w:val="auto"/>
          <w:lang w:eastAsia="en-US"/>
        </w:rPr>
        <w:t xml:space="preserve">  </w:t>
      </w:r>
    </w:p>
    <w:p w14:paraId="19C6F98A" w14:textId="11F731FF" w:rsidR="00B9297D" w:rsidRPr="00B9297D" w:rsidRDefault="003D3305" w:rsidP="00B9297D">
      <w:pPr>
        <w:pStyle w:val="Heading1"/>
        <w:spacing w:before="0"/>
        <w:rPr>
          <w:rFonts w:asciiTheme="minorHAnsi" w:hAnsiTheme="minorHAnsi" w:cstheme="minorHAnsi"/>
          <w:b/>
          <w:bCs/>
          <w:color w:val="auto"/>
          <w:sz w:val="24"/>
          <w:szCs w:val="24"/>
        </w:rPr>
      </w:pPr>
      <w:r w:rsidRPr="00B9297D">
        <w:rPr>
          <w:rFonts w:asciiTheme="minorHAnsi" w:hAnsiTheme="minorHAnsi" w:cstheme="minorHAnsi"/>
          <w:b/>
          <w:bCs/>
          <w:color w:val="auto"/>
          <w:lang w:eastAsia="en-US"/>
        </w:rPr>
        <w:t>P</w:t>
      </w:r>
      <w:r w:rsidR="009450A0" w:rsidRPr="00B9297D">
        <w:rPr>
          <w:rFonts w:asciiTheme="minorHAnsi" w:hAnsiTheme="minorHAnsi" w:cstheme="minorHAnsi"/>
          <w:b/>
          <w:bCs/>
          <w:color w:val="auto"/>
          <w:lang w:eastAsia="en-US"/>
        </w:rPr>
        <w:t>APERWORK REQUIREMENTS</w:t>
      </w:r>
    </w:p>
    <w:p w14:paraId="2605B557" w14:textId="77777777" w:rsidR="009450A0" w:rsidRPr="003C79EE" w:rsidRDefault="009450A0" w:rsidP="009450A0">
      <w:pPr>
        <w:rPr>
          <w:rFonts w:ascii="Calibri" w:hAnsi="Calibri"/>
          <w:b/>
          <w:color w:val="000000"/>
          <w:sz w:val="16"/>
          <w:szCs w:val="16"/>
          <w:u w:val="single"/>
          <w:lang w:eastAsia="en-US"/>
        </w:rPr>
      </w:pPr>
    </w:p>
    <w:p w14:paraId="440A9A54" w14:textId="5B0502DE" w:rsidR="009450A0" w:rsidRPr="009450A0" w:rsidRDefault="009450A0" w:rsidP="009450A0">
      <w:pPr>
        <w:rPr>
          <w:rFonts w:ascii="Calibri" w:hAnsi="Calibri"/>
          <w:color w:val="000000"/>
          <w:sz w:val="22"/>
          <w:szCs w:val="22"/>
          <w:lang w:eastAsia="en-US"/>
        </w:rPr>
      </w:pPr>
      <w:r>
        <w:rPr>
          <w:rFonts w:ascii="Calibri" w:hAnsi="Calibri"/>
          <w:color w:val="000000"/>
          <w:sz w:val="22"/>
          <w:szCs w:val="22"/>
          <w:lang w:eastAsia="en-US"/>
        </w:rPr>
        <w:t>Please not</w:t>
      </w:r>
      <w:r w:rsidR="00B9297D">
        <w:rPr>
          <w:rFonts w:ascii="Calibri" w:hAnsi="Calibri"/>
          <w:color w:val="000000"/>
          <w:sz w:val="22"/>
          <w:szCs w:val="22"/>
          <w:lang w:eastAsia="en-US"/>
        </w:rPr>
        <w:t>e</w:t>
      </w:r>
      <w:r>
        <w:rPr>
          <w:rFonts w:ascii="Calibri" w:hAnsi="Calibri"/>
          <w:color w:val="000000"/>
          <w:sz w:val="22"/>
          <w:szCs w:val="22"/>
          <w:lang w:eastAsia="en-US"/>
        </w:rPr>
        <w:t xml:space="preserve"> that this document has been created to help you ensure that you submit </w:t>
      </w:r>
      <w:proofErr w:type="gramStart"/>
      <w:r>
        <w:rPr>
          <w:rFonts w:ascii="Calibri" w:hAnsi="Calibri"/>
          <w:color w:val="000000"/>
          <w:sz w:val="22"/>
          <w:szCs w:val="22"/>
          <w:lang w:eastAsia="en-US"/>
        </w:rPr>
        <w:t>all of</w:t>
      </w:r>
      <w:proofErr w:type="gramEnd"/>
      <w:r>
        <w:rPr>
          <w:rFonts w:ascii="Calibri" w:hAnsi="Calibri"/>
          <w:color w:val="000000"/>
          <w:sz w:val="22"/>
          <w:szCs w:val="22"/>
          <w:lang w:eastAsia="en-US"/>
        </w:rPr>
        <w:t xml:space="preserve"> the relevant documents to the Local Authority before your inspection is completed. The</w:t>
      </w:r>
      <w:r w:rsidR="00B9297D">
        <w:rPr>
          <w:rFonts w:ascii="Calibri" w:hAnsi="Calibri"/>
          <w:color w:val="000000"/>
          <w:sz w:val="22"/>
          <w:szCs w:val="22"/>
          <w:lang w:eastAsia="en-US"/>
        </w:rPr>
        <w:t xml:space="preserve"> full</w:t>
      </w:r>
      <w:r>
        <w:rPr>
          <w:rFonts w:ascii="Calibri" w:hAnsi="Calibri"/>
          <w:color w:val="000000"/>
          <w:sz w:val="22"/>
          <w:szCs w:val="22"/>
          <w:lang w:eastAsia="en-US"/>
        </w:rPr>
        <w:t xml:space="preserve"> </w:t>
      </w:r>
      <w:r w:rsidR="00B9297D">
        <w:rPr>
          <w:rFonts w:ascii="Calibri" w:hAnsi="Calibri"/>
          <w:color w:val="000000"/>
          <w:sz w:val="22"/>
          <w:szCs w:val="22"/>
          <w:lang w:eastAsia="en-US"/>
        </w:rPr>
        <w:t xml:space="preserve">government </w:t>
      </w:r>
      <w:r>
        <w:rPr>
          <w:rFonts w:ascii="Calibri" w:hAnsi="Calibri"/>
          <w:color w:val="000000"/>
          <w:sz w:val="22"/>
          <w:szCs w:val="22"/>
          <w:lang w:eastAsia="en-US"/>
        </w:rPr>
        <w:t xml:space="preserve">guidance is available </w:t>
      </w:r>
      <w:hyperlink r:id="rId6" w:history="1">
        <w:r w:rsidRPr="00B9297D">
          <w:rPr>
            <w:rStyle w:val="Hyperlink"/>
            <w:rFonts w:ascii="Calibri" w:hAnsi="Calibri"/>
            <w:sz w:val="22"/>
            <w:szCs w:val="22"/>
            <w:lang w:eastAsia="en-US"/>
          </w:rPr>
          <w:t>her</w:t>
        </w:r>
        <w:r w:rsidR="00B9297D" w:rsidRPr="00B9297D">
          <w:rPr>
            <w:rStyle w:val="Hyperlink"/>
            <w:rFonts w:ascii="Calibri" w:hAnsi="Calibri"/>
            <w:sz w:val="22"/>
            <w:szCs w:val="22"/>
            <w:lang w:eastAsia="en-US"/>
          </w:rPr>
          <w:t>e</w:t>
        </w:r>
      </w:hyperlink>
      <w:r w:rsidR="00B9297D">
        <w:rPr>
          <w:rFonts w:ascii="Calibri" w:hAnsi="Calibri"/>
          <w:color w:val="000000"/>
          <w:sz w:val="22"/>
          <w:szCs w:val="22"/>
          <w:lang w:eastAsia="en-US"/>
        </w:rPr>
        <w:t>.</w:t>
      </w:r>
    </w:p>
    <w:p w14:paraId="1F933675" w14:textId="77777777" w:rsidR="009450A0" w:rsidRDefault="009450A0"/>
    <w:p w14:paraId="6D9CDAF4" w14:textId="6B3FA532" w:rsidR="00C7536F" w:rsidRPr="00B9297D" w:rsidRDefault="00C7536F" w:rsidP="00C7536F">
      <w:pPr>
        <w:rPr>
          <w:rFonts w:ascii="Calibri" w:hAnsi="Calibri"/>
          <w:color w:val="000000"/>
          <w:sz w:val="22"/>
          <w:szCs w:val="22"/>
          <w:lang w:eastAsia="en-US"/>
        </w:rPr>
      </w:pPr>
      <w:r w:rsidRPr="00B9297D">
        <w:rPr>
          <w:rFonts w:ascii="Calibri" w:hAnsi="Calibri"/>
          <w:color w:val="000000"/>
          <w:sz w:val="22"/>
          <w:szCs w:val="22"/>
          <w:lang w:eastAsia="en-US"/>
        </w:rPr>
        <w:t xml:space="preserve">There are requirements set out it the guidance in relation to the records that need to be kept. These records will be scrutinised during the inspection. On the inspection </w:t>
      </w:r>
      <w:r w:rsidR="00B9297D">
        <w:rPr>
          <w:rFonts w:ascii="Calibri" w:hAnsi="Calibri"/>
          <w:color w:val="000000"/>
          <w:sz w:val="22"/>
          <w:szCs w:val="22"/>
          <w:lang w:eastAsia="en-US"/>
        </w:rPr>
        <w:t>visit we</w:t>
      </w:r>
      <w:r w:rsidRPr="00B9297D">
        <w:rPr>
          <w:rFonts w:ascii="Calibri" w:hAnsi="Calibri"/>
          <w:color w:val="000000"/>
          <w:sz w:val="22"/>
          <w:szCs w:val="22"/>
          <w:lang w:eastAsia="en-US"/>
        </w:rPr>
        <w:t xml:space="preserve"> will expect to see how these records are going to be kept </w:t>
      </w:r>
      <w:proofErr w:type="gramStart"/>
      <w:r w:rsidRPr="00B9297D">
        <w:rPr>
          <w:rFonts w:ascii="Calibri" w:hAnsi="Calibri"/>
          <w:color w:val="000000"/>
          <w:sz w:val="22"/>
          <w:szCs w:val="22"/>
          <w:lang w:eastAsia="en-US"/>
        </w:rPr>
        <w:t>e.g.</w:t>
      </w:r>
      <w:proofErr w:type="gramEnd"/>
      <w:r w:rsidRPr="00B9297D">
        <w:rPr>
          <w:rFonts w:ascii="Calibri" w:hAnsi="Calibri"/>
          <w:color w:val="000000"/>
          <w:sz w:val="22"/>
          <w:szCs w:val="22"/>
          <w:lang w:eastAsia="en-US"/>
        </w:rPr>
        <w:t xml:space="preserve"> a database, paper record. Records must be kept for 3 years.</w:t>
      </w:r>
    </w:p>
    <w:p w14:paraId="3588A22D" w14:textId="77777777" w:rsidR="00C7536F" w:rsidRDefault="00C7536F"/>
    <w:p w14:paraId="55C2629A" w14:textId="77777777" w:rsidR="009450A0" w:rsidRPr="00B9297D" w:rsidRDefault="009450A0" w:rsidP="00B9297D">
      <w:pPr>
        <w:pStyle w:val="Heading2"/>
        <w:rPr>
          <w:rFonts w:asciiTheme="minorHAnsi" w:hAnsiTheme="minorHAnsi" w:cstheme="minorHAnsi"/>
          <w:b/>
          <w:bCs/>
          <w:color w:val="auto"/>
        </w:rPr>
      </w:pPr>
      <w:r w:rsidRPr="00B9297D">
        <w:rPr>
          <w:rFonts w:asciiTheme="minorHAnsi" w:hAnsiTheme="minorHAnsi" w:cstheme="minorHAnsi"/>
          <w:b/>
          <w:bCs/>
          <w:color w:val="auto"/>
        </w:rPr>
        <w:t>Minimum Standards</w:t>
      </w:r>
    </w:p>
    <w:p w14:paraId="1D4D8803" w14:textId="77777777" w:rsidR="009450A0" w:rsidRDefault="009450A0">
      <w:pPr>
        <w:rPr>
          <w:rFonts w:asciiTheme="minorHAnsi" w:hAnsiTheme="minorHAnsi"/>
          <w:b/>
          <w:sz w:val="22"/>
          <w:szCs w:val="22"/>
          <w:u w:val="single"/>
        </w:rPr>
      </w:pPr>
    </w:p>
    <w:p w14:paraId="42679B4E" w14:textId="77777777" w:rsidR="009450A0" w:rsidRPr="009450A0" w:rsidRDefault="009450A0">
      <w:pPr>
        <w:rPr>
          <w:rFonts w:asciiTheme="minorHAnsi" w:hAnsiTheme="minorHAnsi"/>
          <w:sz w:val="22"/>
          <w:szCs w:val="22"/>
        </w:rPr>
      </w:pPr>
      <w:r>
        <w:rPr>
          <w:rFonts w:asciiTheme="minorHAnsi" w:hAnsiTheme="minorHAnsi"/>
          <w:sz w:val="22"/>
          <w:szCs w:val="22"/>
        </w:rPr>
        <w:t>To meet the minimum standards you must submit the following details:</w:t>
      </w:r>
    </w:p>
    <w:p w14:paraId="1BBDCC5D" w14:textId="77777777" w:rsidR="009450A0" w:rsidRDefault="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562"/>
        <w:gridCol w:w="8454"/>
      </w:tblGrid>
      <w:tr w:rsidR="009450A0" w14:paraId="1AAB0ECF" w14:textId="77777777" w:rsidTr="00DD5240">
        <w:tc>
          <w:tcPr>
            <w:tcW w:w="562" w:type="dxa"/>
          </w:tcPr>
          <w:p w14:paraId="5B55DB22" w14:textId="77777777" w:rsidR="009450A0" w:rsidRDefault="009450A0">
            <w:pPr>
              <w:rPr>
                <w:rFonts w:asciiTheme="minorHAnsi" w:hAnsiTheme="minorHAnsi"/>
                <w:sz w:val="22"/>
                <w:szCs w:val="22"/>
              </w:rPr>
            </w:pPr>
          </w:p>
        </w:tc>
        <w:tc>
          <w:tcPr>
            <w:tcW w:w="8454" w:type="dxa"/>
          </w:tcPr>
          <w:p w14:paraId="07C48EE8" w14:textId="77777777" w:rsidR="009450A0" w:rsidRDefault="000377CF" w:rsidP="000D1A97">
            <w:pPr>
              <w:rPr>
                <w:rFonts w:asciiTheme="minorHAnsi" w:hAnsiTheme="minorHAnsi"/>
                <w:sz w:val="22"/>
                <w:szCs w:val="22"/>
              </w:rPr>
            </w:pPr>
            <w:r>
              <w:rPr>
                <w:rFonts w:asciiTheme="minorHAnsi" w:hAnsiTheme="minorHAnsi"/>
                <w:sz w:val="22"/>
                <w:szCs w:val="22"/>
              </w:rPr>
              <w:t>A written training policy for all staff</w:t>
            </w:r>
            <w:r w:rsidR="009450A0">
              <w:rPr>
                <w:rFonts w:asciiTheme="minorHAnsi" w:hAnsiTheme="minorHAnsi"/>
                <w:sz w:val="22"/>
                <w:szCs w:val="22"/>
              </w:rPr>
              <w:t xml:space="preserve"> (See guidance under Part A 4.3)</w:t>
            </w:r>
            <w:r w:rsidR="00DD5240">
              <w:rPr>
                <w:rFonts w:asciiTheme="minorHAnsi" w:hAnsiTheme="minorHAnsi"/>
                <w:sz w:val="22"/>
                <w:szCs w:val="22"/>
              </w:rPr>
              <w:t>.</w:t>
            </w:r>
            <w:r w:rsidR="00141678">
              <w:rPr>
                <w:rFonts w:asciiTheme="minorHAnsi" w:hAnsiTheme="minorHAnsi"/>
                <w:sz w:val="22"/>
                <w:szCs w:val="22"/>
              </w:rPr>
              <w:t xml:space="preserve"> </w:t>
            </w:r>
          </w:p>
        </w:tc>
      </w:tr>
      <w:tr w:rsidR="00460B09" w14:paraId="1B56733B" w14:textId="77777777" w:rsidTr="00DD5240">
        <w:tc>
          <w:tcPr>
            <w:tcW w:w="562" w:type="dxa"/>
          </w:tcPr>
          <w:p w14:paraId="2F63DB57" w14:textId="77777777" w:rsidR="00460B09" w:rsidRDefault="00460B09">
            <w:pPr>
              <w:rPr>
                <w:rFonts w:asciiTheme="minorHAnsi" w:hAnsiTheme="minorHAnsi"/>
                <w:sz w:val="22"/>
                <w:szCs w:val="22"/>
              </w:rPr>
            </w:pPr>
          </w:p>
        </w:tc>
        <w:tc>
          <w:tcPr>
            <w:tcW w:w="8454" w:type="dxa"/>
          </w:tcPr>
          <w:p w14:paraId="24E25EAA" w14:textId="77777777" w:rsidR="00460B09" w:rsidRDefault="00460B09" w:rsidP="000D1A97">
            <w:pPr>
              <w:rPr>
                <w:rFonts w:asciiTheme="minorHAnsi" w:hAnsiTheme="minorHAnsi"/>
                <w:sz w:val="22"/>
                <w:szCs w:val="22"/>
              </w:rPr>
            </w:pPr>
            <w:r>
              <w:rPr>
                <w:rFonts w:asciiTheme="minorHAnsi" w:hAnsiTheme="minorHAnsi"/>
                <w:sz w:val="22"/>
                <w:szCs w:val="22"/>
              </w:rPr>
              <w:t>Procedures must be in place to ensure accommodation and any equipment within it is cleaned as often as necessary and good hygiene standards are maintained (See guidance under Part A 5.5).</w:t>
            </w:r>
          </w:p>
        </w:tc>
      </w:tr>
      <w:tr w:rsidR="00460B09" w14:paraId="3AA1825B" w14:textId="77777777" w:rsidTr="00DD5240">
        <w:tc>
          <w:tcPr>
            <w:tcW w:w="562" w:type="dxa"/>
          </w:tcPr>
          <w:p w14:paraId="5E8F5F3F" w14:textId="77777777" w:rsidR="00460B09" w:rsidRDefault="00460B09">
            <w:pPr>
              <w:rPr>
                <w:rFonts w:asciiTheme="minorHAnsi" w:hAnsiTheme="minorHAnsi"/>
                <w:sz w:val="22"/>
                <w:szCs w:val="22"/>
              </w:rPr>
            </w:pPr>
          </w:p>
        </w:tc>
        <w:tc>
          <w:tcPr>
            <w:tcW w:w="8454" w:type="dxa"/>
          </w:tcPr>
          <w:p w14:paraId="3D45D24C" w14:textId="5FC8AA73" w:rsidR="00460B09" w:rsidRPr="008527CC" w:rsidRDefault="008527CC" w:rsidP="000D1A97">
            <w:pPr>
              <w:rPr>
                <w:rFonts w:asciiTheme="minorHAnsi" w:hAnsiTheme="minorHAnsi" w:cstheme="minorHAnsi"/>
                <w:sz w:val="22"/>
                <w:szCs w:val="22"/>
              </w:rPr>
            </w:pPr>
            <w:r w:rsidRPr="008527CC">
              <w:rPr>
                <w:rFonts w:asciiTheme="minorHAnsi" w:hAnsiTheme="minorHAnsi" w:cstheme="minorHAnsi"/>
                <w:color w:val="0B0C0C"/>
                <w:sz w:val="22"/>
                <w:szCs w:val="22"/>
                <w:shd w:val="clear" w:color="auto" w:fill="FFFFFF"/>
              </w:rPr>
              <w:t>A facility must create a written programme that shows how they provide an enriching environment. </w:t>
            </w:r>
            <w:r>
              <w:rPr>
                <w:rFonts w:asciiTheme="minorHAnsi" w:hAnsiTheme="minorHAnsi" w:cstheme="minorHAnsi"/>
                <w:color w:val="0B0C0C"/>
                <w:sz w:val="22"/>
                <w:szCs w:val="22"/>
                <w:shd w:val="clear" w:color="auto" w:fill="FFFFFF"/>
              </w:rPr>
              <w:t>(See guidance 7.0)</w:t>
            </w:r>
          </w:p>
        </w:tc>
      </w:tr>
      <w:tr w:rsidR="00460B09" w14:paraId="54AA6B0F" w14:textId="77777777" w:rsidTr="00DD5240">
        <w:tc>
          <w:tcPr>
            <w:tcW w:w="562" w:type="dxa"/>
          </w:tcPr>
          <w:p w14:paraId="6112A13E" w14:textId="77777777" w:rsidR="00460B09" w:rsidRDefault="00460B09">
            <w:pPr>
              <w:rPr>
                <w:rFonts w:asciiTheme="minorHAnsi" w:hAnsiTheme="minorHAnsi"/>
                <w:sz w:val="22"/>
                <w:szCs w:val="22"/>
              </w:rPr>
            </w:pPr>
          </w:p>
        </w:tc>
        <w:tc>
          <w:tcPr>
            <w:tcW w:w="8454" w:type="dxa"/>
          </w:tcPr>
          <w:p w14:paraId="22C0AC9B" w14:textId="2E0B6678" w:rsidR="00460B09" w:rsidRDefault="008527CC">
            <w:pPr>
              <w:rPr>
                <w:rFonts w:asciiTheme="minorHAnsi" w:hAnsiTheme="minorHAnsi"/>
                <w:sz w:val="22"/>
                <w:szCs w:val="22"/>
              </w:rPr>
            </w:pPr>
            <w:r w:rsidRPr="008527CC">
              <w:rPr>
                <w:rFonts w:asciiTheme="minorHAnsi" w:hAnsiTheme="minorHAnsi"/>
                <w:sz w:val="22"/>
                <w:szCs w:val="22"/>
              </w:rPr>
              <w:t xml:space="preserve">There must be written procedures in place for dogs that are under one year of age. </w:t>
            </w:r>
            <w:r w:rsidR="00460B09">
              <w:rPr>
                <w:rFonts w:asciiTheme="minorHAnsi" w:hAnsiTheme="minorHAnsi"/>
                <w:sz w:val="22"/>
                <w:szCs w:val="22"/>
              </w:rPr>
              <w:t>(See guidance under Part A 7.5).</w:t>
            </w:r>
          </w:p>
        </w:tc>
      </w:tr>
      <w:tr w:rsidR="00460B09" w14:paraId="74E2A7F8" w14:textId="77777777" w:rsidTr="00DD5240">
        <w:tc>
          <w:tcPr>
            <w:tcW w:w="562" w:type="dxa"/>
          </w:tcPr>
          <w:p w14:paraId="28D9F37F" w14:textId="77777777" w:rsidR="00460B09" w:rsidRDefault="00460B09">
            <w:pPr>
              <w:rPr>
                <w:rFonts w:asciiTheme="minorHAnsi" w:hAnsiTheme="minorHAnsi"/>
                <w:sz w:val="22"/>
                <w:szCs w:val="22"/>
              </w:rPr>
            </w:pPr>
          </w:p>
        </w:tc>
        <w:tc>
          <w:tcPr>
            <w:tcW w:w="8454" w:type="dxa"/>
          </w:tcPr>
          <w:p w14:paraId="4C5F08D5" w14:textId="1C75E960" w:rsidR="00460B09" w:rsidRDefault="008527CC" w:rsidP="00460B09">
            <w:pPr>
              <w:rPr>
                <w:rFonts w:asciiTheme="minorHAnsi" w:hAnsiTheme="minorHAnsi"/>
                <w:sz w:val="22"/>
                <w:szCs w:val="22"/>
              </w:rPr>
            </w:pPr>
            <w:r w:rsidRPr="008527CC">
              <w:rPr>
                <w:rFonts w:asciiTheme="minorHAnsi" w:hAnsiTheme="minorHAnsi"/>
                <w:sz w:val="22"/>
                <w:szCs w:val="22"/>
              </w:rPr>
              <w:t xml:space="preserve">A written policy must be followed to monitor a new dog added to a group. </w:t>
            </w:r>
            <w:r w:rsidR="00460B09">
              <w:rPr>
                <w:rFonts w:asciiTheme="minorHAnsi" w:hAnsiTheme="minorHAnsi"/>
                <w:sz w:val="22"/>
                <w:szCs w:val="22"/>
              </w:rPr>
              <w:t>(See guidance under Part A 8.2).</w:t>
            </w:r>
          </w:p>
        </w:tc>
      </w:tr>
      <w:tr w:rsidR="00B02953" w14:paraId="34386F80" w14:textId="77777777" w:rsidTr="00DD5240">
        <w:tc>
          <w:tcPr>
            <w:tcW w:w="562" w:type="dxa"/>
          </w:tcPr>
          <w:p w14:paraId="3652D812" w14:textId="77777777" w:rsidR="00B02953" w:rsidRDefault="00B02953">
            <w:pPr>
              <w:rPr>
                <w:rFonts w:asciiTheme="minorHAnsi" w:hAnsiTheme="minorHAnsi"/>
                <w:sz w:val="22"/>
                <w:szCs w:val="22"/>
              </w:rPr>
            </w:pPr>
          </w:p>
        </w:tc>
        <w:tc>
          <w:tcPr>
            <w:tcW w:w="8454" w:type="dxa"/>
          </w:tcPr>
          <w:p w14:paraId="2337F180" w14:textId="77777777" w:rsidR="00B02953" w:rsidRDefault="00B02953" w:rsidP="000377CF">
            <w:pPr>
              <w:rPr>
                <w:rFonts w:asciiTheme="minorHAnsi" w:hAnsiTheme="minorHAnsi"/>
                <w:sz w:val="22"/>
                <w:szCs w:val="22"/>
              </w:rPr>
            </w:pPr>
            <w:r>
              <w:rPr>
                <w:rFonts w:asciiTheme="minorHAnsi" w:hAnsiTheme="minorHAnsi"/>
                <w:sz w:val="22"/>
                <w:szCs w:val="22"/>
              </w:rPr>
              <w:t>Feeding Procedure (See guidance under Part A 6.0, 9.1).</w:t>
            </w:r>
          </w:p>
        </w:tc>
      </w:tr>
      <w:tr w:rsidR="00B02953" w14:paraId="391EE7E7" w14:textId="77777777" w:rsidTr="00DD5240">
        <w:tc>
          <w:tcPr>
            <w:tcW w:w="562" w:type="dxa"/>
          </w:tcPr>
          <w:p w14:paraId="741A5D96" w14:textId="77777777" w:rsidR="00B02953" w:rsidRDefault="00B02953">
            <w:pPr>
              <w:rPr>
                <w:rFonts w:asciiTheme="minorHAnsi" w:hAnsiTheme="minorHAnsi"/>
                <w:sz w:val="22"/>
                <w:szCs w:val="22"/>
              </w:rPr>
            </w:pPr>
          </w:p>
        </w:tc>
        <w:tc>
          <w:tcPr>
            <w:tcW w:w="8454" w:type="dxa"/>
          </w:tcPr>
          <w:p w14:paraId="32852666" w14:textId="77777777" w:rsidR="00B02953" w:rsidRDefault="00B02953" w:rsidP="000D1A97">
            <w:pPr>
              <w:rPr>
                <w:rFonts w:asciiTheme="minorHAnsi" w:hAnsiTheme="minorHAnsi"/>
                <w:sz w:val="22"/>
                <w:szCs w:val="22"/>
              </w:rPr>
            </w:pPr>
            <w:r>
              <w:rPr>
                <w:rFonts w:asciiTheme="minorHAnsi" w:hAnsiTheme="minorHAnsi"/>
                <w:sz w:val="22"/>
                <w:szCs w:val="22"/>
              </w:rPr>
              <w:t>Cleaning Procedures (See guidance under Part A 5.5, 6.4, 6.6, 9.1).</w:t>
            </w:r>
          </w:p>
        </w:tc>
      </w:tr>
      <w:tr w:rsidR="00B02953" w14:paraId="5CF43FD0" w14:textId="77777777" w:rsidTr="00DD5240">
        <w:tc>
          <w:tcPr>
            <w:tcW w:w="562" w:type="dxa"/>
          </w:tcPr>
          <w:p w14:paraId="71B36261" w14:textId="77777777" w:rsidR="00B02953" w:rsidRDefault="00B02953">
            <w:pPr>
              <w:rPr>
                <w:rFonts w:asciiTheme="minorHAnsi" w:hAnsiTheme="minorHAnsi"/>
                <w:sz w:val="22"/>
                <w:szCs w:val="22"/>
              </w:rPr>
            </w:pPr>
          </w:p>
        </w:tc>
        <w:tc>
          <w:tcPr>
            <w:tcW w:w="8454" w:type="dxa"/>
          </w:tcPr>
          <w:p w14:paraId="09D21ECC" w14:textId="77777777" w:rsidR="00B02953" w:rsidRDefault="00B02953" w:rsidP="000458CE">
            <w:pPr>
              <w:rPr>
                <w:rFonts w:asciiTheme="minorHAnsi" w:hAnsiTheme="minorHAnsi"/>
                <w:sz w:val="22"/>
                <w:szCs w:val="22"/>
              </w:rPr>
            </w:pPr>
            <w:r>
              <w:rPr>
                <w:rFonts w:asciiTheme="minorHAnsi" w:hAnsiTheme="minorHAnsi"/>
                <w:sz w:val="22"/>
                <w:szCs w:val="22"/>
              </w:rPr>
              <w:t>Transportation procedure (See guidance under Part A 5.6, 9.1).</w:t>
            </w:r>
          </w:p>
        </w:tc>
      </w:tr>
      <w:tr w:rsidR="00B02953" w14:paraId="581DDC47" w14:textId="77777777" w:rsidTr="00DD5240">
        <w:tc>
          <w:tcPr>
            <w:tcW w:w="562" w:type="dxa"/>
          </w:tcPr>
          <w:p w14:paraId="21410840" w14:textId="77777777" w:rsidR="00B02953" w:rsidRDefault="00B02953">
            <w:pPr>
              <w:rPr>
                <w:rFonts w:asciiTheme="minorHAnsi" w:hAnsiTheme="minorHAnsi"/>
                <w:sz w:val="22"/>
                <w:szCs w:val="22"/>
              </w:rPr>
            </w:pPr>
          </w:p>
        </w:tc>
        <w:tc>
          <w:tcPr>
            <w:tcW w:w="8454" w:type="dxa"/>
          </w:tcPr>
          <w:p w14:paraId="56E63220" w14:textId="77777777" w:rsidR="00B02953" w:rsidRDefault="00B02953" w:rsidP="000458CE">
            <w:pPr>
              <w:rPr>
                <w:rFonts w:asciiTheme="minorHAnsi" w:hAnsiTheme="minorHAnsi"/>
                <w:sz w:val="22"/>
                <w:szCs w:val="22"/>
              </w:rPr>
            </w:pPr>
            <w:r>
              <w:rPr>
                <w:rFonts w:asciiTheme="minorHAnsi" w:hAnsiTheme="minorHAnsi"/>
                <w:sz w:val="22"/>
                <w:szCs w:val="22"/>
              </w:rPr>
              <w:t>The prevention of, and control of the spread of disease (See guidance under Part A 9.0).</w:t>
            </w:r>
          </w:p>
        </w:tc>
      </w:tr>
      <w:tr w:rsidR="00B02953" w14:paraId="1FE5D39A" w14:textId="77777777" w:rsidTr="00DD5240">
        <w:tc>
          <w:tcPr>
            <w:tcW w:w="562" w:type="dxa"/>
          </w:tcPr>
          <w:p w14:paraId="0C9863CB" w14:textId="77777777" w:rsidR="00B02953" w:rsidRDefault="00B02953">
            <w:pPr>
              <w:rPr>
                <w:rFonts w:asciiTheme="minorHAnsi" w:hAnsiTheme="minorHAnsi"/>
                <w:sz w:val="22"/>
                <w:szCs w:val="22"/>
              </w:rPr>
            </w:pPr>
          </w:p>
        </w:tc>
        <w:tc>
          <w:tcPr>
            <w:tcW w:w="8454" w:type="dxa"/>
          </w:tcPr>
          <w:p w14:paraId="4D39079C" w14:textId="77777777" w:rsidR="00B02953" w:rsidRDefault="00B02953" w:rsidP="000458CE">
            <w:pPr>
              <w:rPr>
                <w:rFonts w:asciiTheme="minorHAnsi" w:hAnsiTheme="minorHAnsi"/>
                <w:sz w:val="22"/>
                <w:szCs w:val="22"/>
              </w:rPr>
            </w:pPr>
            <w:r>
              <w:rPr>
                <w:rFonts w:asciiTheme="minorHAnsi" w:hAnsiTheme="minorHAnsi"/>
                <w:sz w:val="22"/>
                <w:szCs w:val="22"/>
              </w:rPr>
              <w:t>Monitoring and ensuring the health and welfare of all the animals (See guidance under Part A 6.2, 9.1, 9.13).</w:t>
            </w:r>
          </w:p>
        </w:tc>
      </w:tr>
      <w:tr w:rsidR="00B02953" w14:paraId="52FC5547" w14:textId="77777777" w:rsidTr="00DD5240">
        <w:tc>
          <w:tcPr>
            <w:tcW w:w="562" w:type="dxa"/>
          </w:tcPr>
          <w:p w14:paraId="4EF36BF3" w14:textId="77777777" w:rsidR="00B02953" w:rsidRDefault="00B02953">
            <w:pPr>
              <w:rPr>
                <w:rFonts w:asciiTheme="minorHAnsi" w:hAnsiTheme="minorHAnsi"/>
                <w:sz w:val="22"/>
                <w:szCs w:val="22"/>
              </w:rPr>
            </w:pPr>
          </w:p>
        </w:tc>
        <w:tc>
          <w:tcPr>
            <w:tcW w:w="8454" w:type="dxa"/>
          </w:tcPr>
          <w:p w14:paraId="6B811B2C" w14:textId="77777777" w:rsidR="00B02953" w:rsidRDefault="00B02953" w:rsidP="000458CE">
            <w:pPr>
              <w:rPr>
                <w:rFonts w:asciiTheme="minorHAnsi" w:hAnsiTheme="minorHAnsi"/>
                <w:sz w:val="22"/>
                <w:szCs w:val="22"/>
              </w:rPr>
            </w:pPr>
            <w:r>
              <w:rPr>
                <w:rFonts w:asciiTheme="minorHAnsi" w:hAnsiTheme="minorHAnsi"/>
                <w:sz w:val="22"/>
                <w:szCs w:val="22"/>
              </w:rPr>
              <w:t>The death or escape of an animal (including the storage of dead animals) (See guidance under Part A 9.1).</w:t>
            </w:r>
          </w:p>
        </w:tc>
      </w:tr>
      <w:tr w:rsidR="00B02953" w14:paraId="5E09DF13" w14:textId="77777777" w:rsidTr="00DD5240">
        <w:tc>
          <w:tcPr>
            <w:tcW w:w="562" w:type="dxa"/>
          </w:tcPr>
          <w:p w14:paraId="35606D05" w14:textId="77777777" w:rsidR="00B02953" w:rsidRDefault="00B02953">
            <w:pPr>
              <w:rPr>
                <w:rFonts w:asciiTheme="minorHAnsi" w:hAnsiTheme="minorHAnsi"/>
                <w:sz w:val="22"/>
                <w:szCs w:val="22"/>
              </w:rPr>
            </w:pPr>
          </w:p>
        </w:tc>
        <w:tc>
          <w:tcPr>
            <w:tcW w:w="8454" w:type="dxa"/>
          </w:tcPr>
          <w:p w14:paraId="4F4325B1" w14:textId="77777777" w:rsidR="00B02953" w:rsidRDefault="00B02953" w:rsidP="000458CE">
            <w:pPr>
              <w:rPr>
                <w:rFonts w:asciiTheme="minorHAnsi" w:hAnsiTheme="minorHAnsi"/>
                <w:sz w:val="22"/>
                <w:szCs w:val="22"/>
              </w:rPr>
            </w:pPr>
            <w:r>
              <w:rPr>
                <w:rFonts w:asciiTheme="minorHAnsi" w:hAnsiTheme="minorHAnsi"/>
                <w:sz w:val="22"/>
                <w:szCs w:val="22"/>
              </w:rPr>
              <w:t>Procedure covering the care of the animals following the suspension or revocation of the licence or during and following an emergency (See guidance under Part A 9.1).</w:t>
            </w:r>
          </w:p>
        </w:tc>
      </w:tr>
      <w:tr w:rsidR="00B02953" w14:paraId="4DE0B704" w14:textId="77777777" w:rsidTr="00DD5240">
        <w:tc>
          <w:tcPr>
            <w:tcW w:w="562" w:type="dxa"/>
          </w:tcPr>
          <w:p w14:paraId="3BBFCBB2" w14:textId="77777777" w:rsidR="00B02953" w:rsidRDefault="00B02953">
            <w:pPr>
              <w:rPr>
                <w:rFonts w:asciiTheme="minorHAnsi" w:hAnsiTheme="minorHAnsi"/>
                <w:sz w:val="22"/>
                <w:szCs w:val="22"/>
              </w:rPr>
            </w:pPr>
          </w:p>
        </w:tc>
        <w:tc>
          <w:tcPr>
            <w:tcW w:w="8454" w:type="dxa"/>
          </w:tcPr>
          <w:p w14:paraId="47F645CD" w14:textId="77777777" w:rsidR="00B02953" w:rsidRDefault="00B02953" w:rsidP="000458CE">
            <w:pPr>
              <w:rPr>
                <w:rFonts w:asciiTheme="minorHAnsi" w:hAnsiTheme="minorHAnsi"/>
                <w:sz w:val="22"/>
                <w:szCs w:val="22"/>
              </w:rPr>
            </w:pPr>
            <w:r>
              <w:rPr>
                <w:rFonts w:asciiTheme="minorHAnsi" w:hAnsiTheme="minorHAnsi"/>
                <w:sz w:val="22"/>
                <w:szCs w:val="22"/>
              </w:rPr>
              <w:t>If isolation facilities are to be provided by the attending veterinary practice, a letter must be provided by the practice stating that they are prepared to provide such facilities. If not stated isolation protocols must be provided (See guidance under Part A 9.3).</w:t>
            </w:r>
          </w:p>
        </w:tc>
      </w:tr>
      <w:tr w:rsidR="00B02953" w14:paraId="197D517E" w14:textId="77777777" w:rsidTr="00DD5240">
        <w:tc>
          <w:tcPr>
            <w:tcW w:w="562" w:type="dxa"/>
          </w:tcPr>
          <w:p w14:paraId="40DA03B9" w14:textId="77777777" w:rsidR="00B02953" w:rsidRDefault="00B02953" w:rsidP="000458CE">
            <w:pPr>
              <w:rPr>
                <w:rFonts w:asciiTheme="minorHAnsi" w:hAnsiTheme="minorHAnsi"/>
                <w:sz w:val="22"/>
                <w:szCs w:val="22"/>
              </w:rPr>
            </w:pPr>
          </w:p>
        </w:tc>
        <w:tc>
          <w:tcPr>
            <w:tcW w:w="8454" w:type="dxa"/>
          </w:tcPr>
          <w:p w14:paraId="06CD9FEF" w14:textId="77777777" w:rsidR="00B02953" w:rsidRDefault="00B02953" w:rsidP="000458CE">
            <w:pPr>
              <w:rPr>
                <w:rFonts w:asciiTheme="minorHAnsi" w:hAnsiTheme="minorHAnsi"/>
                <w:sz w:val="22"/>
                <w:szCs w:val="22"/>
              </w:rPr>
            </w:pPr>
            <w:r>
              <w:rPr>
                <w:rFonts w:asciiTheme="minorHAnsi" w:hAnsiTheme="minorHAnsi"/>
                <w:sz w:val="22"/>
                <w:szCs w:val="22"/>
              </w:rPr>
              <w:t>Agreement must be made and documented between the dog owner and licence holder with regards to which veterinarian is to be used (See guidance under Part A 9.8).</w:t>
            </w:r>
          </w:p>
        </w:tc>
      </w:tr>
      <w:tr w:rsidR="00B02953" w14:paraId="565563C1" w14:textId="77777777" w:rsidTr="00DD5240">
        <w:tc>
          <w:tcPr>
            <w:tcW w:w="562" w:type="dxa"/>
          </w:tcPr>
          <w:p w14:paraId="77AC150E" w14:textId="77777777" w:rsidR="00B02953" w:rsidRDefault="00B02953" w:rsidP="000458CE">
            <w:pPr>
              <w:rPr>
                <w:rFonts w:asciiTheme="minorHAnsi" w:hAnsiTheme="minorHAnsi"/>
                <w:sz w:val="22"/>
                <w:szCs w:val="22"/>
              </w:rPr>
            </w:pPr>
          </w:p>
        </w:tc>
        <w:tc>
          <w:tcPr>
            <w:tcW w:w="8454" w:type="dxa"/>
          </w:tcPr>
          <w:p w14:paraId="1FB0A277" w14:textId="77777777" w:rsidR="00B02953" w:rsidRDefault="00B02953" w:rsidP="000458CE">
            <w:pPr>
              <w:rPr>
                <w:rFonts w:asciiTheme="minorHAnsi" w:hAnsiTheme="minorHAnsi"/>
                <w:sz w:val="22"/>
                <w:szCs w:val="22"/>
              </w:rPr>
            </w:pPr>
            <w:r>
              <w:rPr>
                <w:rFonts w:asciiTheme="minorHAnsi" w:hAnsiTheme="minorHAnsi"/>
                <w:sz w:val="22"/>
                <w:szCs w:val="22"/>
              </w:rPr>
              <w:t>A written emergency plan (See guidance under Part A 10.0 of the Guidance).</w:t>
            </w:r>
          </w:p>
        </w:tc>
      </w:tr>
      <w:tr w:rsidR="00B02953" w14:paraId="4050F3F9" w14:textId="77777777" w:rsidTr="00DD5240">
        <w:tc>
          <w:tcPr>
            <w:tcW w:w="562" w:type="dxa"/>
          </w:tcPr>
          <w:p w14:paraId="24E0C99E" w14:textId="77777777" w:rsidR="00B02953" w:rsidRDefault="00B02953" w:rsidP="000458CE">
            <w:pPr>
              <w:rPr>
                <w:rFonts w:asciiTheme="minorHAnsi" w:hAnsiTheme="minorHAnsi"/>
                <w:sz w:val="22"/>
                <w:szCs w:val="22"/>
              </w:rPr>
            </w:pPr>
          </w:p>
        </w:tc>
        <w:tc>
          <w:tcPr>
            <w:tcW w:w="8454" w:type="dxa"/>
          </w:tcPr>
          <w:p w14:paraId="5EA37874" w14:textId="77777777" w:rsidR="00B02953" w:rsidRDefault="00B02953" w:rsidP="00B02953">
            <w:pPr>
              <w:rPr>
                <w:rFonts w:asciiTheme="minorHAnsi" w:hAnsiTheme="minorHAnsi"/>
                <w:sz w:val="22"/>
                <w:szCs w:val="22"/>
              </w:rPr>
            </w:pPr>
            <w:r>
              <w:rPr>
                <w:rFonts w:asciiTheme="minorHAnsi" w:hAnsiTheme="minorHAnsi"/>
                <w:sz w:val="22"/>
                <w:szCs w:val="22"/>
              </w:rPr>
              <w:t>All dogs must be screened before being admitted to the premises to ensure that they are not afraid, anxious or stressed in the presence of other dogs or people and do not pose a danger to other dogs or staff. A record of the screening procedure for each individual dog must be completed (See guidance under Part B</w:t>
            </w:r>
            <w:r w:rsidRPr="00B02953">
              <w:rPr>
                <w:rFonts w:asciiTheme="minorHAnsi" w:hAnsiTheme="minorHAnsi"/>
                <w:sz w:val="22"/>
                <w:szCs w:val="22"/>
              </w:rPr>
              <w:t xml:space="preserve"> </w:t>
            </w:r>
            <w:r>
              <w:rPr>
                <w:rFonts w:asciiTheme="minorHAnsi" w:hAnsiTheme="minorHAnsi"/>
                <w:sz w:val="22"/>
                <w:szCs w:val="22"/>
              </w:rPr>
              <w:t>23.1)</w:t>
            </w:r>
          </w:p>
        </w:tc>
      </w:tr>
      <w:tr w:rsidR="00B02953" w14:paraId="39883E16" w14:textId="77777777" w:rsidTr="00DD5240">
        <w:tc>
          <w:tcPr>
            <w:tcW w:w="562" w:type="dxa"/>
          </w:tcPr>
          <w:p w14:paraId="7CAC7EA1" w14:textId="77777777" w:rsidR="00B02953" w:rsidRDefault="00B02953" w:rsidP="000458CE">
            <w:pPr>
              <w:rPr>
                <w:rFonts w:asciiTheme="minorHAnsi" w:hAnsiTheme="minorHAnsi"/>
                <w:sz w:val="22"/>
                <w:szCs w:val="22"/>
              </w:rPr>
            </w:pPr>
          </w:p>
        </w:tc>
        <w:tc>
          <w:tcPr>
            <w:tcW w:w="8454" w:type="dxa"/>
          </w:tcPr>
          <w:p w14:paraId="0082EB44" w14:textId="77777777" w:rsidR="00B02953" w:rsidRDefault="00B02953" w:rsidP="00B02953">
            <w:pPr>
              <w:rPr>
                <w:rFonts w:asciiTheme="minorHAnsi" w:hAnsiTheme="minorHAnsi"/>
                <w:sz w:val="22"/>
                <w:szCs w:val="22"/>
              </w:rPr>
            </w:pPr>
            <w:r>
              <w:rPr>
                <w:rFonts w:asciiTheme="minorHAnsi" w:hAnsiTheme="minorHAnsi"/>
                <w:sz w:val="22"/>
                <w:szCs w:val="22"/>
              </w:rPr>
              <w:t>A preventative healthcare plan agreed with the veterinarian with whom the licence holder has registered (See guidance under Part B</w:t>
            </w:r>
            <w:r w:rsidRPr="00B02953">
              <w:rPr>
                <w:rFonts w:asciiTheme="minorHAnsi" w:hAnsiTheme="minorHAnsi"/>
                <w:sz w:val="22"/>
                <w:szCs w:val="22"/>
              </w:rPr>
              <w:t xml:space="preserve"> </w:t>
            </w:r>
            <w:r>
              <w:rPr>
                <w:rFonts w:asciiTheme="minorHAnsi" w:hAnsiTheme="minorHAnsi"/>
                <w:sz w:val="22"/>
                <w:szCs w:val="22"/>
              </w:rPr>
              <w:t>26.2)</w:t>
            </w:r>
          </w:p>
        </w:tc>
      </w:tr>
      <w:tr w:rsidR="00B02953" w14:paraId="5DB6BD6E" w14:textId="77777777" w:rsidTr="00DD5240">
        <w:tc>
          <w:tcPr>
            <w:tcW w:w="562" w:type="dxa"/>
          </w:tcPr>
          <w:p w14:paraId="3AC2962E" w14:textId="77777777" w:rsidR="00B02953" w:rsidRDefault="00B02953" w:rsidP="000458CE">
            <w:pPr>
              <w:rPr>
                <w:rFonts w:asciiTheme="minorHAnsi" w:hAnsiTheme="minorHAnsi"/>
                <w:sz w:val="22"/>
                <w:szCs w:val="22"/>
              </w:rPr>
            </w:pPr>
          </w:p>
        </w:tc>
        <w:tc>
          <w:tcPr>
            <w:tcW w:w="8454" w:type="dxa"/>
          </w:tcPr>
          <w:p w14:paraId="56082CE4" w14:textId="77777777" w:rsidR="00B02953" w:rsidRDefault="00B02953" w:rsidP="000458CE">
            <w:pPr>
              <w:rPr>
                <w:rFonts w:asciiTheme="minorHAnsi" w:hAnsiTheme="minorHAnsi"/>
                <w:sz w:val="22"/>
                <w:szCs w:val="22"/>
              </w:rPr>
            </w:pPr>
            <w:r>
              <w:rPr>
                <w:rFonts w:asciiTheme="minorHAnsi" w:hAnsiTheme="minorHAnsi"/>
                <w:sz w:val="22"/>
                <w:szCs w:val="22"/>
              </w:rPr>
              <w:t>We will need to see a document that can be signed by the client that allow the following:</w:t>
            </w:r>
          </w:p>
          <w:p w14:paraId="12AEF9ED" w14:textId="77777777" w:rsidR="00B02953" w:rsidRDefault="00D05384" w:rsidP="00D05384">
            <w:pPr>
              <w:pStyle w:val="ListParagraph"/>
              <w:numPr>
                <w:ilvl w:val="0"/>
                <w:numId w:val="2"/>
              </w:numPr>
              <w:rPr>
                <w:rFonts w:asciiTheme="minorHAnsi" w:hAnsiTheme="minorHAnsi"/>
                <w:sz w:val="22"/>
                <w:szCs w:val="22"/>
              </w:rPr>
            </w:pPr>
            <w:r>
              <w:rPr>
                <w:rFonts w:asciiTheme="minorHAnsi" w:hAnsiTheme="minorHAnsi"/>
                <w:sz w:val="22"/>
                <w:szCs w:val="22"/>
              </w:rPr>
              <w:t>Dogs must be fed in accordance with the individual dog’s needs and with written consent of the owner.</w:t>
            </w:r>
          </w:p>
        </w:tc>
      </w:tr>
    </w:tbl>
    <w:p w14:paraId="468E17FA" w14:textId="77777777" w:rsidR="009450A0" w:rsidRDefault="009450A0">
      <w:pPr>
        <w:rPr>
          <w:rFonts w:asciiTheme="minorHAnsi" w:hAnsiTheme="minorHAnsi"/>
          <w:sz w:val="22"/>
          <w:szCs w:val="22"/>
        </w:rPr>
      </w:pPr>
    </w:p>
    <w:p w14:paraId="1923A1BC" w14:textId="77777777" w:rsidR="008A4E02" w:rsidRDefault="008A4E02">
      <w:pPr>
        <w:rPr>
          <w:rFonts w:asciiTheme="minorHAnsi" w:hAnsiTheme="minorHAnsi"/>
          <w:sz w:val="22"/>
          <w:szCs w:val="22"/>
        </w:rPr>
      </w:pPr>
    </w:p>
    <w:p w14:paraId="07007B0C" w14:textId="77777777" w:rsidR="009450A0" w:rsidRPr="00B9297D" w:rsidRDefault="009450A0" w:rsidP="00B9297D">
      <w:pPr>
        <w:pStyle w:val="Heading2"/>
        <w:rPr>
          <w:rFonts w:asciiTheme="minorHAnsi" w:hAnsiTheme="minorHAnsi" w:cstheme="minorHAnsi"/>
          <w:b/>
          <w:bCs/>
          <w:color w:val="auto"/>
        </w:rPr>
      </w:pPr>
      <w:r w:rsidRPr="00B9297D">
        <w:rPr>
          <w:rFonts w:asciiTheme="minorHAnsi" w:hAnsiTheme="minorHAnsi" w:cstheme="minorHAnsi"/>
          <w:b/>
          <w:bCs/>
          <w:color w:val="auto"/>
        </w:rPr>
        <w:t>Higher Standards</w:t>
      </w:r>
    </w:p>
    <w:p w14:paraId="387D355B" w14:textId="77777777" w:rsidR="009450A0" w:rsidRDefault="009450A0" w:rsidP="009450A0">
      <w:pPr>
        <w:rPr>
          <w:rFonts w:asciiTheme="minorHAnsi" w:hAnsiTheme="minorHAnsi"/>
          <w:b/>
          <w:sz w:val="22"/>
          <w:szCs w:val="22"/>
          <w:u w:val="single"/>
        </w:rPr>
      </w:pPr>
    </w:p>
    <w:p w14:paraId="3674AE2A" w14:textId="77777777" w:rsidR="009450A0" w:rsidRPr="009450A0" w:rsidRDefault="00DD5240" w:rsidP="009450A0">
      <w:pPr>
        <w:rPr>
          <w:rFonts w:asciiTheme="minorHAnsi" w:hAnsiTheme="minorHAnsi"/>
          <w:sz w:val="22"/>
          <w:szCs w:val="22"/>
        </w:rPr>
      </w:pPr>
      <w:r>
        <w:rPr>
          <w:rFonts w:asciiTheme="minorHAnsi" w:hAnsiTheme="minorHAnsi"/>
          <w:sz w:val="22"/>
          <w:szCs w:val="22"/>
        </w:rPr>
        <w:t>If you wish to</w:t>
      </w:r>
      <w:r w:rsidR="009450A0">
        <w:rPr>
          <w:rFonts w:asciiTheme="minorHAnsi" w:hAnsiTheme="minorHAnsi"/>
          <w:sz w:val="22"/>
          <w:szCs w:val="22"/>
        </w:rPr>
        <w:t xml:space="preserve"> meet the higher standards you</w:t>
      </w:r>
      <w:r>
        <w:rPr>
          <w:rFonts w:asciiTheme="minorHAnsi" w:hAnsiTheme="minorHAnsi"/>
          <w:sz w:val="22"/>
          <w:szCs w:val="22"/>
        </w:rPr>
        <w:t xml:space="preserve"> may</w:t>
      </w:r>
      <w:r w:rsidR="009450A0">
        <w:rPr>
          <w:rFonts w:asciiTheme="minorHAnsi" w:hAnsiTheme="minorHAnsi"/>
          <w:sz w:val="22"/>
          <w:szCs w:val="22"/>
        </w:rPr>
        <w:t xml:space="preserve"> submit the following details:</w:t>
      </w:r>
    </w:p>
    <w:p w14:paraId="354A4D63" w14:textId="77777777" w:rsidR="009450A0" w:rsidRDefault="009450A0" w:rsidP="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562"/>
        <w:gridCol w:w="8454"/>
      </w:tblGrid>
      <w:tr w:rsidR="009450A0" w14:paraId="5DDA3621" w14:textId="77777777" w:rsidTr="00DD5240">
        <w:tc>
          <w:tcPr>
            <w:tcW w:w="562" w:type="dxa"/>
          </w:tcPr>
          <w:p w14:paraId="7E87976B" w14:textId="77777777" w:rsidR="009450A0" w:rsidRDefault="009450A0" w:rsidP="00E950FF">
            <w:pPr>
              <w:rPr>
                <w:rFonts w:asciiTheme="minorHAnsi" w:hAnsiTheme="minorHAnsi"/>
                <w:sz w:val="22"/>
                <w:szCs w:val="22"/>
              </w:rPr>
            </w:pPr>
          </w:p>
        </w:tc>
        <w:tc>
          <w:tcPr>
            <w:tcW w:w="8454" w:type="dxa"/>
          </w:tcPr>
          <w:p w14:paraId="32C8D683" w14:textId="77777777" w:rsidR="009450A0" w:rsidRPr="00B9297D" w:rsidRDefault="00A861B5" w:rsidP="00E950FF">
            <w:pPr>
              <w:rPr>
                <w:rFonts w:asciiTheme="minorHAnsi" w:hAnsiTheme="minorHAnsi"/>
                <w:sz w:val="22"/>
                <w:szCs w:val="22"/>
              </w:rPr>
            </w:pPr>
            <w:r w:rsidRPr="00B9297D">
              <w:rPr>
                <w:rFonts w:asciiTheme="minorHAnsi" w:hAnsiTheme="minorHAnsi"/>
                <w:sz w:val="22"/>
                <w:szCs w:val="22"/>
              </w:rPr>
              <w:t>There must be a clear plan setting out two walks per dog each day for a minimum of 20 minutes each to two sessions of access to a secure open</w:t>
            </w:r>
            <w:r w:rsidR="00D05384" w:rsidRPr="00B9297D">
              <w:rPr>
                <w:rFonts w:asciiTheme="minorHAnsi" w:hAnsiTheme="minorHAnsi"/>
                <w:sz w:val="22"/>
                <w:szCs w:val="22"/>
              </w:rPr>
              <w:t xml:space="preserve"> area away from the kennel unit. There must be an alternative form of enrichment planned for dogs which cannot be exercised for veterinary reasons for the same period of time </w:t>
            </w:r>
            <w:r w:rsidRPr="00B9297D">
              <w:rPr>
                <w:rFonts w:asciiTheme="minorHAnsi" w:hAnsiTheme="minorHAnsi"/>
                <w:sz w:val="22"/>
                <w:szCs w:val="22"/>
              </w:rPr>
              <w:t>(REQUIRED HIGHER STANDARD)</w:t>
            </w:r>
          </w:p>
        </w:tc>
      </w:tr>
      <w:tr w:rsidR="009450A0" w14:paraId="14DA81D4" w14:textId="77777777" w:rsidTr="00DD5240">
        <w:tc>
          <w:tcPr>
            <w:tcW w:w="562" w:type="dxa"/>
          </w:tcPr>
          <w:p w14:paraId="175B8853" w14:textId="77777777" w:rsidR="009450A0" w:rsidRDefault="009450A0" w:rsidP="00E950FF">
            <w:pPr>
              <w:rPr>
                <w:rFonts w:asciiTheme="minorHAnsi" w:hAnsiTheme="minorHAnsi"/>
                <w:sz w:val="22"/>
                <w:szCs w:val="22"/>
              </w:rPr>
            </w:pPr>
          </w:p>
        </w:tc>
        <w:tc>
          <w:tcPr>
            <w:tcW w:w="8454" w:type="dxa"/>
          </w:tcPr>
          <w:p w14:paraId="2D89A70E" w14:textId="77777777" w:rsidR="009450A0" w:rsidRPr="00B9297D" w:rsidRDefault="00D05384" w:rsidP="00E950FF">
            <w:pPr>
              <w:rPr>
                <w:rFonts w:asciiTheme="minorHAnsi" w:hAnsiTheme="minorHAnsi"/>
                <w:sz w:val="22"/>
                <w:szCs w:val="22"/>
              </w:rPr>
            </w:pPr>
            <w:r w:rsidRPr="00B9297D">
              <w:rPr>
                <w:rFonts w:asciiTheme="minorHAnsi" w:hAnsiTheme="minorHAnsi"/>
                <w:sz w:val="22"/>
                <w:szCs w:val="22"/>
              </w:rPr>
              <w:t>Dogs must receive beneficial human interactions throughout the day and these must be documented (OPTIONAL HIGHER STANDARD)</w:t>
            </w:r>
          </w:p>
        </w:tc>
      </w:tr>
      <w:tr w:rsidR="00CD4995" w14:paraId="31AB4180" w14:textId="77777777" w:rsidTr="00DD5240">
        <w:tc>
          <w:tcPr>
            <w:tcW w:w="562" w:type="dxa"/>
          </w:tcPr>
          <w:p w14:paraId="1D056400" w14:textId="77777777" w:rsidR="00CD4995" w:rsidRDefault="00CD4995" w:rsidP="00E950FF">
            <w:pPr>
              <w:rPr>
                <w:rFonts w:asciiTheme="minorHAnsi" w:hAnsiTheme="minorHAnsi"/>
                <w:sz w:val="22"/>
                <w:szCs w:val="22"/>
              </w:rPr>
            </w:pPr>
          </w:p>
        </w:tc>
        <w:tc>
          <w:tcPr>
            <w:tcW w:w="8454" w:type="dxa"/>
          </w:tcPr>
          <w:p w14:paraId="72DA097F" w14:textId="005E32E7" w:rsidR="00CD4995" w:rsidRPr="00B9297D" w:rsidRDefault="00CD4995" w:rsidP="00E950FF">
            <w:pPr>
              <w:rPr>
                <w:rFonts w:asciiTheme="minorHAnsi" w:hAnsiTheme="minorHAnsi"/>
                <w:sz w:val="22"/>
                <w:szCs w:val="22"/>
              </w:rPr>
            </w:pPr>
            <w:r w:rsidRPr="00B9297D">
              <w:rPr>
                <w:rFonts w:asciiTheme="minorHAnsi" w:hAnsiTheme="minorHAnsi"/>
                <w:sz w:val="22"/>
                <w:szCs w:val="22"/>
              </w:rPr>
              <w:t>There must be a structured training programme for staff that specifically address canine behaviour in a day care environment (OPTIONAL HIGHER STANDARD)</w:t>
            </w:r>
          </w:p>
        </w:tc>
      </w:tr>
    </w:tbl>
    <w:p w14:paraId="1DB36F45" w14:textId="77777777" w:rsidR="009450A0" w:rsidRPr="009450A0" w:rsidRDefault="009450A0">
      <w:pPr>
        <w:rPr>
          <w:rFonts w:asciiTheme="minorHAnsi" w:hAnsiTheme="minorHAnsi"/>
          <w:sz w:val="22"/>
          <w:szCs w:val="22"/>
        </w:rPr>
      </w:pPr>
    </w:p>
    <w:sectPr w:rsidR="009450A0" w:rsidRPr="00945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CAB"/>
    <w:multiLevelType w:val="hybridMultilevel"/>
    <w:tmpl w:val="FF2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844FB"/>
    <w:multiLevelType w:val="hybridMultilevel"/>
    <w:tmpl w:val="09EE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A0"/>
    <w:rsid w:val="000377CF"/>
    <w:rsid w:val="000458CE"/>
    <w:rsid w:val="000D1A97"/>
    <w:rsid w:val="00141678"/>
    <w:rsid w:val="002D43CE"/>
    <w:rsid w:val="003B588C"/>
    <w:rsid w:val="003C79EE"/>
    <w:rsid w:val="003D3305"/>
    <w:rsid w:val="0043203E"/>
    <w:rsid w:val="00460B09"/>
    <w:rsid w:val="005422D9"/>
    <w:rsid w:val="00731E47"/>
    <w:rsid w:val="0074775C"/>
    <w:rsid w:val="007671F2"/>
    <w:rsid w:val="007751A5"/>
    <w:rsid w:val="007F3733"/>
    <w:rsid w:val="00833809"/>
    <w:rsid w:val="008527CC"/>
    <w:rsid w:val="008A4E02"/>
    <w:rsid w:val="00906CE8"/>
    <w:rsid w:val="009450A0"/>
    <w:rsid w:val="009F5CDB"/>
    <w:rsid w:val="00A42099"/>
    <w:rsid w:val="00A861B5"/>
    <w:rsid w:val="00AC56EB"/>
    <w:rsid w:val="00B02953"/>
    <w:rsid w:val="00B11097"/>
    <w:rsid w:val="00B9297D"/>
    <w:rsid w:val="00C04391"/>
    <w:rsid w:val="00C7536F"/>
    <w:rsid w:val="00CD4995"/>
    <w:rsid w:val="00CF66E7"/>
    <w:rsid w:val="00D05384"/>
    <w:rsid w:val="00D313E6"/>
    <w:rsid w:val="00DD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FD30"/>
  <w15:chartTrackingRefBased/>
  <w15:docId w15:val="{11CCC2F5-CF60-42DE-9074-0972F0B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A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929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9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0A0"/>
    <w:rPr>
      <w:color w:val="0000FF"/>
      <w:u w:val="single"/>
    </w:rPr>
  </w:style>
  <w:style w:type="table" w:styleId="TableGrid">
    <w:name w:val="Table Grid"/>
    <w:basedOn w:val="TableNormal"/>
    <w:uiPriority w:val="39"/>
    <w:rsid w:val="0094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CF"/>
    <w:pPr>
      <w:ind w:left="720"/>
      <w:contextualSpacing/>
    </w:pPr>
  </w:style>
  <w:style w:type="paragraph" w:styleId="BalloonText">
    <w:name w:val="Balloon Text"/>
    <w:basedOn w:val="Normal"/>
    <w:link w:val="BalloonTextChar"/>
    <w:uiPriority w:val="99"/>
    <w:semiHidden/>
    <w:unhideWhenUsed/>
    <w:rsid w:val="00A42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99"/>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7751A5"/>
    <w:rPr>
      <w:color w:val="954F72" w:themeColor="followedHyperlink"/>
      <w:u w:val="single"/>
    </w:rPr>
  </w:style>
  <w:style w:type="paragraph" w:styleId="NormalWeb">
    <w:name w:val="Normal (Web)"/>
    <w:basedOn w:val="Normal"/>
    <w:uiPriority w:val="99"/>
    <w:semiHidden/>
    <w:unhideWhenUsed/>
    <w:rsid w:val="00B9297D"/>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B9297D"/>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B9297D"/>
    <w:rPr>
      <w:color w:val="605E5C"/>
      <w:shd w:val="clear" w:color="auto" w:fill="E1DFDD"/>
    </w:rPr>
  </w:style>
  <w:style w:type="character" w:customStyle="1" w:styleId="Heading2Char">
    <w:name w:val="Heading 2 Char"/>
    <w:basedOn w:val="DefaultParagraphFont"/>
    <w:link w:val="Heading2"/>
    <w:uiPriority w:val="9"/>
    <w:rsid w:val="00B9297D"/>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7869">
      <w:bodyDiv w:val="1"/>
      <w:marLeft w:val="0"/>
      <w:marRight w:val="0"/>
      <w:marTop w:val="0"/>
      <w:marBottom w:val="0"/>
      <w:divBdr>
        <w:top w:val="none" w:sz="0" w:space="0" w:color="auto"/>
        <w:left w:val="none" w:sz="0" w:space="0" w:color="auto"/>
        <w:bottom w:val="none" w:sz="0" w:space="0" w:color="auto"/>
        <w:right w:val="none" w:sz="0" w:space="0" w:color="auto"/>
      </w:divBdr>
    </w:div>
    <w:div w:id="7235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nimal-activities-licensing-guidance-for-local-authorit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Jennifer</dc:creator>
  <cp:keywords/>
  <dc:description/>
  <cp:lastModifiedBy>Zoe Roberts</cp:lastModifiedBy>
  <cp:revision>4</cp:revision>
  <cp:lastPrinted>2019-07-22T12:17:00Z</cp:lastPrinted>
  <dcterms:created xsi:type="dcterms:W3CDTF">2023-01-10T10:28:00Z</dcterms:created>
  <dcterms:modified xsi:type="dcterms:W3CDTF">2024-10-07T10:56:00Z</dcterms:modified>
</cp:coreProperties>
</file>