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9605C" w14:textId="77777777" w:rsidR="0048506E" w:rsidRPr="0048506E" w:rsidRDefault="0048506E" w:rsidP="0048506E">
      <w:pPr>
        <w:spacing w:after="0" w:line="240" w:lineRule="auto"/>
        <w:rPr>
          <w:rFonts w:ascii="Aptos" w:eastAsia="Calibri" w:hAnsi="Aptos" w:cs="Times New Roman"/>
          <w:b/>
          <w:bCs/>
          <w:color w:val="004254"/>
          <w:kern w:val="0"/>
          <w:sz w:val="36"/>
          <w:szCs w:val="36"/>
          <w:lang w:val="en-US"/>
          <w14:ligatures w14:val="none"/>
        </w:rPr>
      </w:pPr>
    </w:p>
    <w:p w14:paraId="0D027182" w14:textId="77777777" w:rsidR="0048506E" w:rsidRPr="0048506E" w:rsidRDefault="0048506E" w:rsidP="0048506E">
      <w:pPr>
        <w:widowControl w:val="0"/>
        <w:autoSpaceDE w:val="0"/>
        <w:autoSpaceDN w:val="0"/>
        <w:spacing w:after="0" w:line="240" w:lineRule="auto"/>
        <w:outlineLvl w:val="1"/>
        <w:rPr>
          <w:rFonts w:ascii="Aptos" w:eastAsia="Arial" w:hAnsi="Aptos" w:cs="Arial"/>
          <w:b/>
          <w:bCs/>
          <w:color w:val="000000"/>
          <w:kern w:val="0"/>
          <w:sz w:val="40"/>
          <w:szCs w:val="32"/>
          <w:lang w:val="en-US"/>
          <w14:ligatures w14:val="none"/>
        </w:rPr>
      </w:pPr>
      <w:r w:rsidRPr="0048506E">
        <w:rPr>
          <w:rFonts w:ascii="Aptos" w:eastAsia="Arial" w:hAnsi="Aptos" w:cs="Arial"/>
          <w:b/>
          <w:bCs/>
          <w:noProof/>
          <w:color w:val="000000"/>
          <w:kern w:val="0"/>
          <w:sz w:val="40"/>
          <w:szCs w:val="32"/>
          <w:lang w:val="en-US"/>
          <w14:ligatures w14:val="none"/>
        </w:rPr>
        <w:drawing>
          <wp:anchor distT="0" distB="0" distL="114300" distR="114300" simplePos="0" relativeHeight="251659264" behindDoc="0" locked="0" layoutInCell="1" allowOverlap="1" wp14:anchorId="3C65A48C" wp14:editId="22666268">
            <wp:simplePos x="0" y="0"/>
            <wp:positionH relativeFrom="margin">
              <wp:posOffset>3875819</wp:posOffset>
            </wp:positionH>
            <wp:positionV relativeFrom="margin">
              <wp:posOffset>-627849</wp:posOffset>
            </wp:positionV>
            <wp:extent cx="2329180" cy="817245"/>
            <wp:effectExtent l="0" t="0" r="0" b="1905"/>
            <wp:wrapSquare wrapText="bothSides"/>
            <wp:docPr id="6601616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29180" cy="817245"/>
                    </a:xfrm>
                    <a:prstGeom prst="rect">
                      <a:avLst/>
                    </a:prstGeom>
                    <a:noFill/>
                  </pic:spPr>
                </pic:pic>
              </a:graphicData>
            </a:graphic>
          </wp:anchor>
        </w:drawing>
      </w:r>
      <w:r w:rsidRPr="0048506E">
        <w:rPr>
          <w:rFonts w:ascii="Aptos" w:eastAsia="Arial" w:hAnsi="Aptos" w:cs="Arial"/>
          <w:b/>
          <w:bCs/>
          <w:color w:val="000000"/>
          <w:kern w:val="0"/>
          <w:sz w:val="40"/>
          <w:szCs w:val="32"/>
          <w:lang w:val="en-US"/>
          <w14:ligatures w14:val="none"/>
        </w:rPr>
        <w:t>Appendix A - Housing Enforcement Policy 2026</w:t>
      </w:r>
    </w:p>
    <w:p w14:paraId="31C931AA" w14:textId="77777777" w:rsidR="0048506E" w:rsidRPr="0048506E" w:rsidRDefault="0048506E" w:rsidP="0048506E">
      <w:pPr>
        <w:rPr>
          <w:rFonts w:ascii="Aptos" w:eastAsia="Calibri" w:hAnsi="Aptos" w:cs="Times New Roman"/>
          <w:b/>
          <w:bCs/>
          <w:color w:val="004254"/>
          <w:kern w:val="0"/>
          <w:lang w:val="en-US"/>
          <w14:ligatures w14:val="none"/>
        </w:rPr>
      </w:pPr>
      <w:r w:rsidRPr="0048506E">
        <w:rPr>
          <w:rFonts w:ascii="Aptos" w:eastAsia="Calibri" w:hAnsi="Aptos" w:cs="Times New Roman"/>
          <w:b/>
          <w:bCs/>
          <w:color w:val="004254"/>
          <w:kern w:val="0"/>
          <w:lang w:val="en-US"/>
          <w14:ligatures w14:val="none"/>
        </w:rPr>
        <w:t>Effective from 1</w:t>
      </w:r>
      <w:r w:rsidRPr="0048506E">
        <w:rPr>
          <w:rFonts w:ascii="Aptos" w:eastAsia="Calibri" w:hAnsi="Aptos" w:cs="Times New Roman"/>
          <w:b/>
          <w:bCs/>
          <w:color w:val="004254"/>
          <w:kern w:val="0"/>
          <w:vertAlign w:val="superscript"/>
          <w:lang w:val="en-US"/>
          <w14:ligatures w14:val="none"/>
        </w:rPr>
        <w:t>st</w:t>
      </w:r>
      <w:r w:rsidRPr="0048506E">
        <w:rPr>
          <w:rFonts w:ascii="Aptos" w:eastAsia="Calibri" w:hAnsi="Aptos" w:cs="Times New Roman"/>
          <w:b/>
          <w:bCs/>
          <w:color w:val="004254"/>
          <w:kern w:val="0"/>
          <w:lang w:val="en-US"/>
          <w14:ligatures w14:val="none"/>
        </w:rPr>
        <w:t xml:space="preserve"> May 2026. </w:t>
      </w:r>
    </w:p>
    <w:p w14:paraId="0E830B65" w14:textId="77777777" w:rsidR="0048506E" w:rsidRPr="0048506E" w:rsidRDefault="0048506E" w:rsidP="0048506E">
      <w:pPr>
        <w:numPr>
          <w:ilvl w:val="1"/>
          <w:numId w:val="17"/>
        </w:numPr>
        <w:spacing w:after="120"/>
        <w:rPr>
          <w:rFonts w:ascii="Aptos" w:eastAsia="Calibri" w:hAnsi="Aptos" w:cs="Times New Roman"/>
          <w:color w:val="000000"/>
          <w:kern w:val="0"/>
          <w:lang w:val="en-US"/>
          <w14:ligatures w14:val="none"/>
        </w:rPr>
      </w:pPr>
      <w:r w:rsidRPr="0048506E">
        <w:rPr>
          <w:rFonts w:ascii="Aptos" w:eastAsia="Calibri" w:hAnsi="Aptos" w:cs="Times New Roman"/>
          <w:kern w:val="0"/>
          <w:lang w:val="en-US"/>
          <w14:ligatures w14:val="none"/>
        </w:rPr>
        <w:t xml:space="preserve">This policy sets out the Council’s principles for enforcing and executing its duties as a Housing Authority under the relevant statute. </w:t>
      </w:r>
    </w:p>
    <w:p w14:paraId="5458E3DA" w14:textId="77777777" w:rsidR="0048506E" w:rsidRPr="0048506E" w:rsidRDefault="0048506E" w:rsidP="0048506E">
      <w:pPr>
        <w:numPr>
          <w:ilvl w:val="1"/>
          <w:numId w:val="17"/>
        </w:numPr>
        <w:spacing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S3 Housing Act 2004 imposes a duty on Councils to keep housing conditions in their district under review with a view to identifying any action that may need to be taken by them.</w:t>
      </w:r>
    </w:p>
    <w:p w14:paraId="712A0AF1" w14:textId="77777777" w:rsidR="0048506E" w:rsidRPr="0048506E" w:rsidRDefault="0048506E" w:rsidP="0048506E">
      <w:pPr>
        <w:numPr>
          <w:ilvl w:val="1"/>
          <w:numId w:val="17"/>
        </w:numPr>
        <w:spacing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S107 Renters’ Rights Act 2025 imposes a duty on the Council to enforce the Landlord Legislation. The Landlord Legislation is comprised of the following:</w:t>
      </w:r>
    </w:p>
    <w:p w14:paraId="74F2BD34" w14:textId="77777777" w:rsidR="0048506E" w:rsidRPr="0048506E" w:rsidRDefault="0048506E" w:rsidP="0048506E">
      <w:pPr>
        <w:numPr>
          <w:ilvl w:val="0"/>
          <w:numId w:val="11"/>
        </w:numPr>
        <w:spacing w:after="0" w:line="278" w:lineRule="auto"/>
        <w:ind w:left="714" w:hanging="357"/>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Chapters 3 and 6 of Part 1 of the Renters’ Rights Act 2025,</w:t>
      </w:r>
    </w:p>
    <w:p w14:paraId="1F516542" w14:textId="77777777" w:rsidR="0048506E" w:rsidRPr="0048506E" w:rsidRDefault="0048506E" w:rsidP="0048506E">
      <w:pPr>
        <w:numPr>
          <w:ilvl w:val="0"/>
          <w:numId w:val="11"/>
        </w:numPr>
        <w:spacing w:after="0" w:line="278" w:lineRule="auto"/>
        <w:ind w:left="714" w:hanging="357"/>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Part 2 of the Renters’ Rights Act 2025,</w:t>
      </w:r>
    </w:p>
    <w:p w14:paraId="10A66813" w14:textId="77777777" w:rsidR="0048506E" w:rsidRPr="0048506E" w:rsidRDefault="0048506E" w:rsidP="0048506E">
      <w:pPr>
        <w:numPr>
          <w:ilvl w:val="0"/>
          <w:numId w:val="11"/>
        </w:numPr>
        <w:spacing w:after="0" w:line="278" w:lineRule="auto"/>
        <w:ind w:left="714" w:hanging="357"/>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Sections 1 and 1A of the Protection from Eviction Act 1977, and</w:t>
      </w:r>
    </w:p>
    <w:p w14:paraId="5AF3653C" w14:textId="77777777" w:rsidR="0048506E" w:rsidRPr="0048506E" w:rsidRDefault="0048506E" w:rsidP="0048506E">
      <w:pPr>
        <w:numPr>
          <w:ilvl w:val="0"/>
          <w:numId w:val="11"/>
        </w:numPr>
        <w:spacing w:after="0" w:line="278" w:lineRule="auto"/>
        <w:ind w:left="714" w:hanging="357"/>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Chapter 1 of Part 1 of the Housing Act 1988.</w:t>
      </w:r>
    </w:p>
    <w:p w14:paraId="467FA1D0"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S110 Renters’ Rights Act 2025 imposes a duty on the Council to report to the Secretary of State on the exercise of its functions under the Landlord Legislation.</w:t>
      </w:r>
    </w:p>
    <w:p w14:paraId="296F7B6F" w14:textId="77777777" w:rsidR="0048506E" w:rsidRPr="0048506E" w:rsidRDefault="0048506E" w:rsidP="0048506E">
      <w:pPr>
        <w:numPr>
          <w:ilvl w:val="1"/>
          <w:numId w:val="17"/>
        </w:numPr>
        <w:spacing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In this policy, the term ‘landlord’ should be read as including letting agents, managing agents, licensors, property owners, directors of corporate landlords and any other person involved in the letting or management of privately rented accommodation.</w:t>
      </w:r>
    </w:p>
    <w:p w14:paraId="34DF271E" w14:textId="77777777" w:rsidR="0048506E" w:rsidRPr="0048506E" w:rsidRDefault="0048506E" w:rsidP="0048506E">
      <w:pPr>
        <w:numPr>
          <w:ilvl w:val="1"/>
          <w:numId w:val="17"/>
        </w:numPr>
        <w:spacing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In this policy, the terms ‘House of Multiple Occupation’ or ‘HMO’ are defined by the Housing Act 2004.</w:t>
      </w:r>
    </w:p>
    <w:p w14:paraId="6FEC82E9" w14:textId="77777777" w:rsidR="0048506E" w:rsidRPr="0048506E" w:rsidRDefault="0048506E" w:rsidP="0048506E">
      <w:pPr>
        <w:widowControl w:val="0"/>
        <w:numPr>
          <w:ilvl w:val="0"/>
          <w:numId w:val="17"/>
        </w:numPr>
        <w:tabs>
          <w:tab w:val="left" w:pos="851"/>
        </w:tabs>
        <w:autoSpaceDE w:val="0"/>
        <w:autoSpaceDN w:val="0"/>
        <w:spacing w:after="0" w:line="240" w:lineRule="auto"/>
        <w:ind w:right="-176"/>
        <w:outlineLvl w:val="0"/>
        <w:rPr>
          <w:rFonts w:ascii="Aptos" w:eastAsia="Calibri" w:hAnsi="Aptos" w:cs="Times New Roman"/>
          <w:color w:val="004254"/>
          <w:kern w:val="0"/>
          <w:sz w:val="36"/>
          <w:szCs w:val="36"/>
          <w14:ligatures w14:val="none"/>
        </w:rPr>
      </w:pPr>
      <w:r w:rsidRPr="0048506E">
        <w:rPr>
          <w:rFonts w:ascii="Aptos" w:eastAsia="Calibri" w:hAnsi="Aptos" w:cs="Times New Roman"/>
          <w:color w:val="004254"/>
          <w:kern w:val="0"/>
          <w:sz w:val="36"/>
          <w:szCs w:val="36"/>
          <w14:ligatures w14:val="none"/>
        </w:rPr>
        <w:t>Aims of the Policy</w:t>
      </w:r>
    </w:p>
    <w:p w14:paraId="5F671CC1"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The purpose of this enforcement policy is to provide guidance for Private Sector Housing (“PSH”) officers to ensure enforcement action is taken in line with the Regulators Code and the principles of good regulation </w:t>
      </w:r>
      <w:r w:rsidRPr="0048506E">
        <w:rPr>
          <w:rFonts w:ascii="Aptos" w:eastAsia="Calibri" w:hAnsi="Aptos" w:cs="Times New Roman"/>
          <w:color w:val="000000"/>
          <w:kern w:val="0"/>
          <w:lang w:val="en-US"/>
          <w14:ligatures w14:val="none"/>
        </w:rPr>
        <w:t>where required by The Legislative and Regulatory Reform (Regulatory Functions) Order 2007</w:t>
      </w:r>
      <w:r w:rsidRPr="0048506E">
        <w:rPr>
          <w:rFonts w:ascii="Aptos" w:eastAsia="Calibri" w:hAnsi="Aptos" w:cs="Times New Roman"/>
          <w:kern w:val="0"/>
          <w:lang w:val="en-US"/>
          <w14:ligatures w14:val="none"/>
        </w:rPr>
        <w:t xml:space="preserve">. Of </w:t>
      </w:r>
      <w:proofErr w:type="gramStart"/>
      <w:r w:rsidRPr="0048506E">
        <w:rPr>
          <w:rFonts w:ascii="Aptos" w:eastAsia="Calibri" w:hAnsi="Aptos" w:cs="Times New Roman"/>
          <w:kern w:val="0"/>
          <w:lang w:val="en-US"/>
          <w14:ligatures w14:val="none"/>
        </w:rPr>
        <w:t>particular note</w:t>
      </w:r>
      <w:proofErr w:type="gramEnd"/>
      <w:r w:rsidRPr="0048506E">
        <w:rPr>
          <w:rFonts w:ascii="Aptos" w:eastAsia="Calibri" w:hAnsi="Aptos" w:cs="Times New Roman"/>
          <w:kern w:val="0"/>
          <w:lang w:val="en-US"/>
          <w14:ligatures w14:val="none"/>
        </w:rPr>
        <w:t>, the following pieces of legislation:</w:t>
      </w:r>
    </w:p>
    <w:p w14:paraId="11C6F88D" w14:textId="77777777" w:rsidR="0048506E" w:rsidRPr="0048506E" w:rsidRDefault="0048506E" w:rsidP="0048506E">
      <w:pPr>
        <w:numPr>
          <w:ilvl w:val="0"/>
          <w:numId w:val="5"/>
        </w:numPr>
        <w:spacing w:after="0" w:line="278" w:lineRule="auto"/>
        <w:ind w:left="714" w:hanging="357"/>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Parts 8, 9 and 10 of the Housing Act 1985</w:t>
      </w:r>
    </w:p>
    <w:p w14:paraId="1939E3EF" w14:textId="77777777" w:rsidR="0048506E" w:rsidRPr="0048506E" w:rsidRDefault="0048506E" w:rsidP="0048506E">
      <w:pPr>
        <w:numPr>
          <w:ilvl w:val="0"/>
          <w:numId w:val="4"/>
        </w:numPr>
        <w:spacing w:after="0" w:line="278" w:lineRule="auto"/>
        <w:ind w:left="714" w:hanging="357"/>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Part 8 of the Housing Act 1996</w:t>
      </w:r>
    </w:p>
    <w:p w14:paraId="5CEA0FD4" w14:textId="77777777" w:rsidR="0048506E" w:rsidRPr="0048506E" w:rsidRDefault="0048506E" w:rsidP="0048506E">
      <w:pPr>
        <w:numPr>
          <w:ilvl w:val="0"/>
          <w:numId w:val="3"/>
        </w:numPr>
        <w:spacing w:after="0" w:line="278" w:lineRule="auto"/>
        <w:ind w:left="714" w:hanging="357"/>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Parts 2 to 5 of the Housing Act 2004</w:t>
      </w:r>
    </w:p>
    <w:p w14:paraId="1A6E2736"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Are subject to The Legislative and Regulatory Reform (Regulatory Functions) Order 2007. </w:t>
      </w:r>
    </w:p>
    <w:p w14:paraId="0EE30B60"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This policy document sets out what owners, landlords, their agents or any other person involved in the letting or management of privately rented accommodation, and tenants of private rented sector properties, can expect from officers when dealing with non-compliance.</w:t>
      </w:r>
    </w:p>
    <w:p w14:paraId="373823AA"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All enforcement </w:t>
      </w:r>
      <w:proofErr w:type="gramStart"/>
      <w:r w:rsidRPr="0048506E">
        <w:rPr>
          <w:rFonts w:ascii="Aptos" w:eastAsia="Calibri" w:hAnsi="Aptos" w:cs="Times New Roman"/>
          <w:kern w:val="0"/>
          <w:lang w:val="en-US"/>
          <w14:ligatures w14:val="none"/>
        </w:rPr>
        <w:t>action</w:t>
      </w:r>
      <w:proofErr w:type="gramEnd"/>
      <w:r w:rsidRPr="0048506E">
        <w:rPr>
          <w:rFonts w:ascii="Aptos" w:eastAsia="Calibri" w:hAnsi="Aptos" w:cs="Times New Roman"/>
          <w:kern w:val="0"/>
          <w:lang w:val="en-US"/>
          <w14:ligatures w14:val="none"/>
        </w:rPr>
        <w:t xml:space="preserve"> taken will be in accordance with relevant statutory Codes of Practice, Council procedures and protocols, and official guidance from central and local government bodies. </w:t>
      </w:r>
    </w:p>
    <w:p w14:paraId="7FBCF6AA"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lastRenderedPageBreak/>
        <w:t xml:space="preserve">As a public body under the Human Rights Act 1998, the Council will apply the principles of </w:t>
      </w:r>
      <w:proofErr w:type="gramStart"/>
      <w:r w:rsidRPr="0048506E">
        <w:rPr>
          <w:rFonts w:ascii="Aptos" w:eastAsia="Calibri" w:hAnsi="Aptos" w:cs="Times New Roman"/>
          <w:kern w:val="0"/>
          <w:lang w:val="en-US"/>
          <w14:ligatures w14:val="none"/>
        </w:rPr>
        <w:t>the  European</w:t>
      </w:r>
      <w:proofErr w:type="gramEnd"/>
      <w:r w:rsidRPr="0048506E">
        <w:rPr>
          <w:rFonts w:ascii="Aptos" w:eastAsia="Calibri" w:hAnsi="Aptos" w:cs="Times New Roman"/>
          <w:kern w:val="0"/>
          <w:lang w:val="en-US"/>
          <w14:ligatures w14:val="none"/>
        </w:rPr>
        <w:t xml:space="preserve"> Convention for the Protection of Human Rights and Fundamental Freedoms.</w:t>
      </w:r>
    </w:p>
    <w:p w14:paraId="7FF5A2A6" w14:textId="77777777" w:rsidR="0048506E" w:rsidRPr="0048506E" w:rsidRDefault="0048506E" w:rsidP="0048506E">
      <w:pPr>
        <w:widowControl w:val="0"/>
        <w:numPr>
          <w:ilvl w:val="0"/>
          <w:numId w:val="17"/>
        </w:numPr>
        <w:tabs>
          <w:tab w:val="left" w:pos="851"/>
        </w:tabs>
        <w:autoSpaceDE w:val="0"/>
        <w:autoSpaceDN w:val="0"/>
        <w:spacing w:after="0" w:line="240" w:lineRule="auto"/>
        <w:ind w:right="-176"/>
        <w:outlineLvl w:val="0"/>
        <w:rPr>
          <w:rFonts w:ascii="Aptos" w:eastAsia="Calibri" w:hAnsi="Aptos" w:cs="Times New Roman"/>
          <w:color w:val="004254"/>
          <w:kern w:val="0"/>
          <w:sz w:val="36"/>
          <w:szCs w:val="36"/>
          <w14:ligatures w14:val="none"/>
        </w:rPr>
      </w:pPr>
      <w:r w:rsidRPr="0048506E">
        <w:rPr>
          <w:rFonts w:ascii="Aptos" w:eastAsia="Calibri" w:hAnsi="Aptos" w:cs="Times New Roman"/>
          <w:color w:val="004254"/>
          <w:kern w:val="0"/>
          <w:sz w:val="36"/>
          <w:szCs w:val="36"/>
          <w14:ligatures w14:val="none"/>
        </w:rPr>
        <w:t>Approach to Enforcement</w:t>
      </w:r>
    </w:p>
    <w:p w14:paraId="0D6DBC76"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The Council wants to support responsible landlords to raise housing standards. However, the Council expects landlords to have a good understanding of the housing standards and management issues that should be met in privately rented accommodation.</w:t>
      </w:r>
    </w:p>
    <w:p w14:paraId="45E3B28A"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S5 Housing Act 2004 places a duty on Councils to take formal enforcement action where a Category 1 hazard exists.</w:t>
      </w:r>
    </w:p>
    <w:p w14:paraId="4B453066"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S7 Housing Act 2004 gives Councils </w:t>
      </w:r>
      <w:proofErr w:type="gramStart"/>
      <w:r w:rsidRPr="0048506E">
        <w:rPr>
          <w:rFonts w:ascii="Aptos" w:eastAsia="Calibri" w:hAnsi="Aptos" w:cs="Times New Roman"/>
          <w:kern w:val="0"/>
          <w:lang w:val="en-US"/>
          <w14:ligatures w14:val="none"/>
        </w:rPr>
        <w:t>a discretionary</w:t>
      </w:r>
      <w:proofErr w:type="gramEnd"/>
      <w:r w:rsidRPr="0048506E">
        <w:rPr>
          <w:rFonts w:ascii="Aptos" w:eastAsia="Calibri" w:hAnsi="Aptos" w:cs="Times New Roman"/>
          <w:kern w:val="0"/>
          <w:lang w:val="en-US"/>
          <w14:ligatures w14:val="none"/>
        </w:rPr>
        <w:t xml:space="preserve"> power to </w:t>
      </w:r>
      <w:proofErr w:type="gramStart"/>
      <w:r w:rsidRPr="0048506E">
        <w:rPr>
          <w:rFonts w:ascii="Aptos" w:eastAsia="Calibri" w:hAnsi="Aptos" w:cs="Times New Roman"/>
          <w:kern w:val="0"/>
          <w:lang w:val="en-US"/>
          <w14:ligatures w14:val="none"/>
        </w:rPr>
        <w:t>take action</w:t>
      </w:r>
      <w:proofErr w:type="gramEnd"/>
      <w:r w:rsidRPr="0048506E">
        <w:rPr>
          <w:rFonts w:ascii="Aptos" w:eastAsia="Calibri" w:hAnsi="Aptos" w:cs="Times New Roman"/>
          <w:kern w:val="0"/>
          <w:lang w:val="en-US"/>
          <w14:ligatures w14:val="none"/>
        </w:rPr>
        <w:t xml:space="preserve"> where a Category 2 hazard exists. The Council will usually </w:t>
      </w:r>
      <w:proofErr w:type="gramStart"/>
      <w:r w:rsidRPr="0048506E">
        <w:rPr>
          <w:rFonts w:ascii="Aptos" w:eastAsia="Calibri" w:hAnsi="Aptos" w:cs="Times New Roman"/>
          <w:kern w:val="0"/>
          <w:lang w:val="en-US"/>
          <w14:ligatures w14:val="none"/>
        </w:rPr>
        <w:t>take action</w:t>
      </w:r>
      <w:proofErr w:type="gramEnd"/>
      <w:r w:rsidRPr="0048506E">
        <w:rPr>
          <w:rFonts w:ascii="Aptos" w:eastAsia="Calibri" w:hAnsi="Aptos" w:cs="Times New Roman"/>
          <w:kern w:val="0"/>
          <w:lang w:val="en-US"/>
          <w14:ligatures w14:val="none"/>
        </w:rPr>
        <w:t xml:space="preserve"> where a significant Category 2 hazard exists.</w:t>
      </w:r>
    </w:p>
    <w:p w14:paraId="385E91D8"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In addition, Council officers will often investigate and identify the need to take enforcement action through proactive inspections of dwellings through licensing provisions; in response to a complaint or request for assistance; and referrals from other public bodies. All investigations will be carried out in accordance with the relevant statutory requirements. The Council will ensure that appropriate governance is in place to ensure that action is taken in accordance with appropriate policies. </w:t>
      </w:r>
    </w:p>
    <w:p w14:paraId="1F0DEEAD"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The Council may commence enforcement with formal action instead of informal action in the first instance. In deciding whether to do so, the circumstances of the case will be </w:t>
      </w:r>
      <w:proofErr w:type="gramStart"/>
      <w:r w:rsidRPr="0048506E">
        <w:rPr>
          <w:rFonts w:ascii="Aptos" w:eastAsia="Calibri" w:hAnsi="Aptos" w:cs="Times New Roman"/>
          <w:kern w:val="0"/>
          <w:lang w:val="en-US"/>
          <w14:ligatures w14:val="none"/>
        </w:rPr>
        <w:t>taken into account</w:t>
      </w:r>
      <w:proofErr w:type="gramEnd"/>
      <w:r w:rsidRPr="0048506E">
        <w:rPr>
          <w:rFonts w:ascii="Aptos" w:eastAsia="Calibri" w:hAnsi="Aptos" w:cs="Times New Roman"/>
          <w:kern w:val="0"/>
          <w:lang w:val="en-US"/>
          <w14:ligatures w14:val="none"/>
        </w:rPr>
        <w:t>. Relevant factors may include, but are not limited to:</w:t>
      </w:r>
    </w:p>
    <w:p w14:paraId="748A2934" w14:textId="77777777" w:rsidR="0048506E" w:rsidRPr="0048506E" w:rsidRDefault="0048506E" w:rsidP="0048506E">
      <w:pPr>
        <w:numPr>
          <w:ilvl w:val="0"/>
          <w:numId w:val="2"/>
        </w:numPr>
        <w:spacing w:line="278" w:lineRule="auto"/>
        <w:contextualSpacing/>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Where there is a risk to public health  </w:t>
      </w:r>
    </w:p>
    <w:p w14:paraId="735B9F3B" w14:textId="77777777" w:rsidR="0048506E" w:rsidRPr="0048506E" w:rsidRDefault="0048506E" w:rsidP="0048506E">
      <w:pPr>
        <w:numPr>
          <w:ilvl w:val="0"/>
          <w:numId w:val="2"/>
        </w:numPr>
        <w:spacing w:line="278" w:lineRule="auto"/>
        <w:contextualSpacing/>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Where there is a blatant or deliberate contravention of the law  </w:t>
      </w:r>
    </w:p>
    <w:p w14:paraId="1CF897A4" w14:textId="77777777" w:rsidR="0048506E" w:rsidRPr="0048506E" w:rsidRDefault="0048506E" w:rsidP="0048506E">
      <w:pPr>
        <w:numPr>
          <w:ilvl w:val="0"/>
          <w:numId w:val="2"/>
        </w:numPr>
        <w:spacing w:line="278" w:lineRule="auto"/>
        <w:contextualSpacing/>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Where there is history of non-compliance </w:t>
      </w:r>
    </w:p>
    <w:p w14:paraId="07DE3623"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The Council will usually take formal action in the first instance if there has been:</w:t>
      </w:r>
    </w:p>
    <w:p w14:paraId="72CFA218" w14:textId="77777777" w:rsidR="0048506E" w:rsidRPr="0048506E" w:rsidRDefault="0048506E" w:rsidP="0048506E">
      <w:pPr>
        <w:numPr>
          <w:ilvl w:val="0"/>
          <w:numId w:val="18"/>
        </w:numPr>
        <w:spacing w:line="278" w:lineRule="auto"/>
        <w:contextualSpacing/>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Non-compliance with previous formal or informal action</w:t>
      </w:r>
    </w:p>
    <w:p w14:paraId="228A7A91" w14:textId="77777777" w:rsidR="0048506E" w:rsidRPr="0048506E" w:rsidRDefault="0048506E" w:rsidP="0048506E">
      <w:pPr>
        <w:numPr>
          <w:ilvl w:val="0"/>
          <w:numId w:val="18"/>
        </w:numPr>
        <w:spacing w:line="278" w:lineRule="auto"/>
        <w:contextualSpacing/>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Offences in relation to the licensing of HMOs</w:t>
      </w:r>
    </w:p>
    <w:p w14:paraId="358CCC4A" w14:textId="77777777" w:rsidR="0048506E" w:rsidRPr="0048506E" w:rsidRDefault="0048506E" w:rsidP="0048506E">
      <w:pPr>
        <w:numPr>
          <w:ilvl w:val="0"/>
          <w:numId w:val="18"/>
        </w:numPr>
        <w:spacing w:line="278" w:lineRule="auto"/>
        <w:contextualSpacing/>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 xml:space="preserve">Unlawful eviction or harassment </w:t>
      </w:r>
    </w:p>
    <w:p w14:paraId="758614E3"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The Council will take formal enforcement action in the first instance for breaches of the Landlord Legislation.</w:t>
      </w:r>
    </w:p>
    <w:p w14:paraId="33DC38C9" w14:textId="77777777" w:rsidR="0048506E" w:rsidRPr="0048506E" w:rsidRDefault="0048506E" w:rsidP="0048506E">
      <w:pPr>
        <w:widowControl w:val="0"/>
        <w:numPr>
          <w:ilvl w:val="0"/>
          <w:numId w:val="17"/>
        </w:numPr>
        <w:tabs>
          <w:tab w:val="left" w:pos="851"/>
        </w:tabs>
        <w:autoSpaceDE w:val="0"/>
        <w:autoSpaceDN w:val="0"/>
        <w:spacing w:after="0" w:line="240" w:lineRule="auto"/>
        <w:ind w:right="-176"/>
        <w:outlineLvl w:val="0"/>
        <w:rPr>
          <w:rFonts w:ascii="Aptos" w:eastAsia="Calibri" w:hAnsi="Aptos" w:cs="Times New Roman"/>
          <w:color w:val="004254"/>
          <w:kern w:val="0"/>
          <w:sz w:val="36"/>
          <w:szCs w:val="36"/>
          <w14:ligatures w14:val="none"/>
        </w:rPr>
      </w:pPr>
      <w:r w:rsidRPr="0048506E">
        <w:rPr>
          <w:rFonts w:ascii="Aptos" w:eastAsia="Calibri" w:hAnsi="Aptos" w:cs="Times New Roman"/>
          <w:color w:val="004254"/>
          <w:kern w:val="0"/>
          <w:sz w:val="36"/>
          <w:szCs w:val="36"/>
          <w14:ligatures w14:val="none"/>
        </w:rPr>
        <w:t>Investigatory powers</w:t>
      </w:r>
    </w:p>
    <w:p w14:paraId="227B3549"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kern w:val="0"/>
          <w:lang w:val="en-US"/>
          <w14:ligatures w14:val="none"/>
        </w:rPr>
        <w:t>In addition to the Council’s informal and formal powers of enforcement, there are investigatory powers relating to the collection of information and relating to the entry of premises including, but not limited to, the powers detailed below.</w:t>
      </w:r>
    </w:p>
    <w:p w14:paraId="6BB8092F" w14:textId="77777777" w:rsidR="0048506E" w:rsidRPr="0048506E" w:rsidRDefault="0048506E" w:rsidP="0048506E">
      <w:pPr>
        <w:rPr>
          <w:rFonts w:ascii="Aptos" w:eastAsia="Calibri" w:hAnsi="Aptos" w:cs="Times New Roman"/>
          <w:b/>
          <w:bCs/>
          <w:color w:val="004254"/>
          <w:kern w:val="0"/>
          <w:lang w:val="en-US"/>
          <w14:ligatures w14:val="none"/>
        </w:rPr>
      </w:pPr>
      <w:r w:rsidRPr="0048506E">
        <w:rPr>
          <w:rFonts w:ascii="Aptos" w:eastAsia="Calibri" w:hAnsi="Aptos" w:cs="Times New Roman"/>
          <w:b/>
          <w:bCs/>
          <w:color w:val="004254"/>
          <w:kern w:val="0"/>
          <w:lang w:val="en-US"/>
          <w14:ligatures w14:val="none"/>
        </w:rPr>
        <w:t>Power to Investigate</w:t>
      </w:r>
    </w:p>
    <w:p w14:paraId="0E453DD9"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S114 </w:t>
      </w:r>
      <w:r w:rsidRPr="0048506E">
        <w:rPr>
          <w:rFonts w:ascii="Aptos" w:eastAsia="Calibri" w:hAnsi="Aptos" w:cs="Times New Roman"/>
          <w:kern w:val="0"/>
          <w:lang w:val="en-US"/>
          <w14:ligatures w14:val="none"/>
        </w:rPr>
        <w:t>Renters’</w:t>
      </w:r>
      <w:r w:rsidRPr="0048506E">
        <w:rPr>
          <w:rFonts w:ascii="Aptos" w:eastAsia="Calibri" w:hAnsi="Aptos" w:cs="Times New Roman"/>
          <w:color w:val="000000"/>
          <w:kern w:val="0"/>
          <w:lang w:val="en-US"/>
          <w14:ligatures w14:val="none"/>
        </w:rPr>
        <w:t xml:space="preserve"> Rights Act 2025 gives the Council power to issue a notice to a relevant person to require the person to provide specified information to the Council. </w:t>
      </w:r>
    </w:p>
    <w:p w14:paraId="1162655B"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lastRenderedPageBreak/>
        <w:t xml:space="preserve">This notice may be given to any person with an estate or interest in the land; the licensor; their agents; or a marketer of a property. It may be given </w:t>
      </w:r>
      <w:proofErr w:type="gramStart"/>
      <w:r w:rsidRPr="0048506E">
        <w:rPr>
          <w:rFonts w:ascii="Aptos" w:eastAsia="Calibri" w:hAnsi="Aptos" w:cs="Times New Roman"/>
          <w:color w:val="000000"/>
          <w:kern w:val="0"/>
          <w:lang w:val="en-US"/>
          <w14:ligatures w14:val="none"/>
        </w:rPr>
        <w:t>in regard to</w:t>
      </w:r>
      <w:proofErr w:type="gramEnd"/>
      <w:r w:rsidRPr="0048506E">
        <w:rPr>
          <w:rFonts w:ascii="Aptos" w:eastAsia="Calibri" w:hAnsi="Aptos" w:cs="Times New Roman"/>
          <w:color w:val="000000"/>
          <w:kern w:val="0"/>
          <w:lang w:val="en-US"/>
          <w14:ligatures w14:val="none"/>
        </w:rPr>
        <w:t xml:space="preserve"> any offence under the following Legislation:</w:t>
      </w:r>
    </w:p>
    <w:p w14:paraId="06D71E64" w14:textId="77777777" w:rsidR="0048506E" w:rsidRPr="0048506E" w:rsidRDefault="0048506E" w:rsidP="0048506E">
      <w:pPr>
        <w:numPr>
          <w:ilvl w:val="0"/>
          <w:numId w:val="19"/>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Sections 1 and 1A of the Protection from Eviction Act 1977;</w:t>
      </w:r>
    </w:p>
    <w:p w14:paraId="05B59D00" w14:textId="77777777" w:rsidR="0048506E" w:rsidRPr="0048506E" w:rsidRDefault="0048506E" w:rsidP="0048506E">
      <w:pPr>
        <w:numPr>
          <w:ilvl w:val="0"/>
          <w:numId w:val="19"/>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Chapter 1 of Part 1 of the Housing Act 1988;</w:t>
      </w:r>
    </w:p>
    <w:p w14:paraId="2354C518" w14:textId="77777777" w:rsidR="0048506E" w:rsidRPr="0048506E" w:rsidRDefault="0048506E" w:rsidP="0048506E">
      <w:pPr>
        <w:numPr>
          <w:ilvl w:val="0"/>
          <w:numId w:val="19"/>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Section 83(1) or 84(1) of the Enterprise and Regulatory Reform Act 2013;</w:t>
      </w:r>
    </w:p>
    <w:p w14:paraId="0619F720" w14:textId="77777777" w:rsidR="0048506E" w:rsidRPr="0048506E" w:rsidRDefault="0048506E" w:rsidP="0048506E">
      <w:pPr>
        <w:numPr>
          <w:ilvl w:val="0"/>
          <w:numId w:val="19"/>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Sections 21 to 23 of the Housing and Planning Act 2016;</w:t>
      </w:r>
    </w:p>
    <w:p w14:paraId="2D2A2C17" w14:textId="77777777" w:rsidR="0048506E" w:rsidRPr="0048506E" w:rsidRDefault="0048506E" w:rsidP="0048506E">
      <w:pPr>
        <w:numPr>
          <w:ilvl w:val="0"/>
          <w:numId w:val="19"/>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Chapter 3 of Part 1 and Part 2 of the Renters’ Rights Act 2025.</w:t>
      </w:r>
    </w:p>
    <w:p w14:paraId="45EA414D" w14:textId="77777777" w:rsidR="0048506E" w:rsidRPr="0048506E" w:rsidRDefault="0048506E" w:rsidP="0048506E">
      <w:pPr>
        <w:spacing w:line="278" w:lineRule="auto"/>
        <w:ind w:left="1440"/>
        <w:contextualSpacing/>
        <w:rPr>
          <w:rFonts w:ascii="Aptos" w:eastAsia="Calibri" w:hAnsi="Aptos" w:cs="Times New Roman"/>
          <w:color w:val="000000"/>
          <w:kern w:val="0"/>
          <w:lang w:val="en-US"/>
          <w14:ligatures w14:val="none"/>
        </w:rPr>
      </w:pPr>
    </w:p>
    <w:p w14:paraId="46D803BC"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Failure to comply with </w:t>
      </w:r>
      <w:proofErr w:type="gramStart"/>
      <w:r w:rsidRPr="0048506E">
        <w:rPr>
          <w:rFonts w:ascii="Aptos" w:eastAsia="Calibri" w:hAnsi="Aptos" w:cs="Times New Roman"/>
          <w:color w:val="000000"/>
          <w:kern w:val="0"/>
          <w:lang w:val="en-US"/>
          <w14:ligatures w14:val="none"/>
        </w:rPr>
        <w:t>a s114</w:t>
      </w:r>
      <w:proofErr w:type="gramEnd"/>
      <w:r w:rsidRPr="0048506E">
        <w:rPr>
          <w:rFonts w:ascii="Aptos" w:eastAsia="Calibri" w:hAnsi="Aptos" w:cs="Times New Roman"/>
          <w:color w:val="000000"/>
          <w:kern w:val="0"/>
          <w:lang w:val="en-US"/>
          <w14:ligatures w14:val="none"/>
        </w:rPr>
        <w:t xml:space="preserve"> notice is an offence under s131 Renters’ Rights Act 2025, as is being obstructive and intentionally or recklessly making false or misleading statements in response to a s.113 notice.</w:t>
      </w:r>
    </w:p>
    <w:p w14:paraId="68141830"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S115 Renters’ Rights Act 2025 permits the Council when it reasonably suspects a breach of the Rented Accommodation Legislation to issue a notice to any person requiring them to provide the information specified. This may only be done to investigate whether a breach has occurred under the Rented Accommodation Legislation, or to determine the amount of a penalty. For the purposes of this section, the Rented Accommodation Legislation means:</w:t>
      </w:r>
    </w:p>
    <w:p w14:paraId="65F0E1EC" w14:textId="77777777" w:rsidR="0048506E" w:rsidRPr="0048506E" w:rsidRDefault="0048506E" w:rsidP="0048506E">
      <w:pPr>
        <w:numPr>
          <w:ilvl w:val="0"/>
          <w:numId w:val="20"/>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Sections 1 and 1A of the Protection from Eviction Act 1977;</w:t>
      </w:r>
    </w:p>
    <w:p w14:paraId="6517F792" w14:textId="77777777" w:rsidR="0048506E" w:rsidRPr="0048506E" w:rsidRDefault="0048506E" w:rsidP="0048506E">
      <w:pPr>
        <w:numPr>
          <w:ilvl w:val="0"/>
          <w:numId w:val="20"/>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Chapter 1 of Part 1 of the Housing Act 1988;</w:t>
      </w:r>
    </w:p>
    <w:p w14:paraId="638177E6" w14:textId="77777777" w:rsidR="0048506E" w:rsidRPr="0048506E" w:rsidRDefault="0048506E" w:rsidP="0048506E">
      <w:pPr>
        <w:numPr>
          <w:ilvl w:val="0"/>
          <w:numId w:val="20"/>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Parts 1 to 4 and 7 of the Housing Act </w:t>
      </w:r>
      <w:proofErr w:type="gramStart"/>
      <w:r w:rsidRPr="0048506E">
        <w:rPr>
          <w:rFonts w:ascii="Aptos" w:eastAsia="Calibri" w:hAnsi="Aptos" w:cs="Times New Roman"/>
          <w:color w:val="000000"/>
          <w:kern w:val="0"/>
          <w:lang w:val="en-US"/>
          <w14:ligatures w14:val="none"/>
        </w:rPr>
        <w:t>2004 ;</w:t>
      </w:r>
      <w:proofErr w:type="gramEnd"/>
    </w:p>
    <w:p w14:paraId="78E1A6EA" w14:textId="77777777" w:rsidR="0048506E" w:rsidRPr="0048506E" w:rsidRDefault="0048506E" w:rsidP="0048506E">
      <w:pPr>
        <w:numPr>
          <w:ilvl w:val="0"/>
          <w:numId w:val="20"/>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Section 83(1) or 84(1) of the Enterprise and Regulatory Reform Act 2013;</w:t>
      </w:r>
    </w:p>
    <w:p w14:paraId="03CD6296" w14:textId="77777777" w:rsidR="0048506E" w:rsidRPr="0048506E" w:rsidRDefault="0048506E" w:rsidP="0048506E">
      <w:pPr>
        <w:numPr>
          <w:ilvl w:val="0"/>
          <w:numId w:val="20"/>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Sections 21 to 23 of the Housing and Planning Act 2016;</w:t>
      </w:r>
    </w:p>
    <w:p w14:paraId="794BC677" w14:textId="77777777" w:rsidR="0048506E" w:rsidRPr="0048506E" w:rsidRDefault="0048506E" w:rsidP="0048506E">
      <w:pPr>
        <w:numPr>
          <w:ilvl w:val="0"/>
          <w:numId w:val="20"/>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Chapter 3 of Part 1 and Part 2 of the Renters’ Rights Act 2025.</w:t>
      </w:r>
    </w:p>
    <w:p w14:paraId="6B09C95A" w14:textId="77777777" w:rsidR="0048506E" w:rsidRPr="0048506E" w:rsidRDefault="0048506E" w:rsidP="0048506E">
      <w:pPr>
        <w:spacing w:line="278" w:lineRule="auto"/>
        <w:ind w:left="1080"/>
        <w:contextualSpacing/>
        <w:rPr>
          <w:rFonts w:ascii="Aptos" w:eastAsia="Calibri" w:hAnsi="Aptos" w:cs="Times New Roman"/>
          <w:color w:val="000000"/>
          <w:kern w:val="0"/>
          <w:lang w:val="en-US"/>
          <w14:ligatures w14:val="none"/>
        </w:rPr>
      </w:pPr>
    </w:p>
    <w:p w14:paraId="717E60ED" w14:textId="77777777" w:rsidR="0048506E" w:rsidRPr="0048506E" w:rsidRDefault="0048506E" w:rsidP="0048506E">
      <w:pPr>
        <w:numPr>
          <w:ilvl w:val="1"/>
          <w:numId w:val="17"/>
        </w:numPr>
        <w:spacing w:before="120" w:after="120" w:line="240" w:lineRule="auto"/>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Where an individual has not complied with a s115 notice, s116 Renters’ Rights Act 2025 enables the Council to make an application to the Court to enforce the provisions of the notice and seek reimbursement for the costs of the application. </w:t>
      </w:r>
    </w:p>
    <w:p w14:paraId="18595F35"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S131 Renters’ Rights Act provides that, in addition to the offence of non-compliance with a s114 notice, it is an offence for an individual to obstruct a Council officer seeking to exercise their powers without reasonable excuse. It is also an offence to fail to give an officer any additional assistance or information which they reasonably require without reasonable excuse. </w:t>
      </w:r>
    </w:p>
    <w:p w14:paraId="37A63884"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S235 Housing Act 2004 allows the Council to issue a notice to relevant individuals, including occupiers, directing them to provide specified documents under their control for the purpose of investigating whether an offence has been committed under Parts 1 to 4 of the Housing Act 2004 or exercising the Council’s functions under Parts 1 to 4 of the Housing Act 2004.</w:t>
      </w:r>
    </w:p>
    <w:p w14:paraId="7ED2E5A2"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S16 Local Government (Miscellaneous Provisions) Act 1976 also permits the Council to issue a notice to an occupier, manager, or individual with an interest in the land to compel them to provide the Council with information on the nature of their interest and the names and addresses of current occupiers.</w:t>
      </w:r>
    </w:p>
    <w:p w14:paraId="46136208" w14:textId="77777777" w:rsidR="0048506E" w:rsidRDefault="0048506E" w:rsidP="0048506E">
      <w:pPr>
        <w:rPr>
          <w:rFonts w:ascii="Aptos" w:eastAsia="Calibri" w:hAnsi="Aptos" w:cs="Times New Roman"/>
          <w:b/>
          <w:bCs/>
          <w:color w:val="004254"/>
          <w:kern w:val="0"/>
          <w:lang w:val="en-US"/>
          <w14:ligatures w14:val="none"/>
        </w:rPr>
      </w:pPr>
    </w:p>
    <w:p w14:paraId="7BC07534" w14:textId="66CC48D8" w:rsidR="0048506E" w:rsidRPr="0048506E" w:rsidRDefault="0048506E" w:rsidP="0048506E">
      <w:pPr>
        <w:rPr>
          <w:rFonts w:ascii="Aptos" w:eastAsia="Calibri" w:hAnsi="Aptos" w:cs="Times New Roman"/>
          <w:b/>
          <w:bCs/>
          <w:color w:val="004254"/>
          <w:kern w:val="0"/>
          <w:lang w:val="en-US"/>
          <w14:ligatures w14:val="none"/>
        </w:rPr>
      </w:pPr>
      <w:r w:rsidRPr="0048506E">
        <w:rPr>
          <w:rFonts w:ascii="Aptos" w:eastAsia="Calibri" w:hAnsi="Aptos" w:cs="Times New Roman"/>
          <w:b/>
          <w:bCs/>
          <w:color w:val="004254"/>
          <w:kern w:val="0"/>
          <w:lang w:val="en-US"/>
          <w14:ligatures w14:val="none"/>
        </w:rPr>
        <w:lastRenderedPageBreak/>
        <w:t>Entry to Premises</w:t>
      </w:r>
    </w:p>
    <w:p w14:paraId="215D47C0"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S118 Renters’ Rights Act 2025 permits Council officers to enter business premises of relevant people (including landlords, letting agents, and marketers) if it is necessary for the production or seizure of documents under s122-s123 Renters’ Rights Act 2025. This power will be exercised without a warrant.</w:t>
      </w:r>
    </w:p>
    <w:p w14:paraId="12964DF8"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S121 Renters’ Rights Act 2025 allows a Council officer named in a warrant to enter premises used for a </w:t>
      </w:r>
      <w:proofErr w:type="gramStart"/>
      <w:r w:rsidRPr="0048506E">
        <w:rPr>
          <w:rFonts w:ascii="Aptos" w:eastAsia="Calibri" w:hAnsi="Aptos" w:cs="Times New Roman"/>
          <w:color w:val="000000"/>
          <w:kern w:val="0"/>
          <w:lang w:val="en-US"/>
          <w14:ligatures w14:val="none"/>
        </w:rPr>
        <w:t>rental sector</w:t>
      </w:r>
      <w:proofErr w:type="gramEnd"/>
      <w:r w:rsidRPr="0048506E">
        <w:rPr>
          <w:rFonts w:ascii="Aptos" w:eastAsia="Calibri" w:hAnsi="Aptos" w:cs="Times New Roman"/>
          <w:color w:val="000000"/>
          <w:kern w:val="0"/>
          <w:lang w:val="en-US"/>
          <w14:ligatures w14:val="none"/>
        </w:rPr>
        <w:t xml:space="preserve"> business which is not mainly accommodation if there are documents on the premises which the officer could require under s122 or seize under s123. In addition, for this power to be exercised, one of the following conditions must be met:</w:t>
      </w:r>
    </w:p>
    <w:p w14:paraId="2B39E5EE" w14:textId="77777777" w:rsidR="0048506E" w:rsidRPr="0048506E" w:rsidRDefault="0048506E" w:rsidP="0048506E">
      <w:pPr>
        <w:numPr>
          <w:ilvl w:val="0"/>
          <w:numId w:val="1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That access to the premises has been or is likely to be refused, and the Council has provided notice of their intention to apply for a warrant to the occupier;</w:t>
      </w:r>
    </w:p>
    <w:p w14:paraId="6736B632" w14:textId="77777777" w:rsidR="0048506E" w:rsidRPr="0048506E" w:rsidRDefault="0048506E" w:rsidP="0048506E">
      <w:pPr>
        <w:numPr>
          <w:ilvl w:val="0"/>
          <w:numId w:val="1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Those documents on the premises would likely be concealed or interfered with if notice of entry were to be given;</w:t>
      </w:r>
    </w:p>
    <w:p w14:paraId="38F89B18" w14:textId="77777777" w:rsidR="0048506E" w:rsidRPr="0048506E" w:rsidRDefault="0048506E" w:rsidP="0048506E">
      <w:pPr>
        <w:numPr>
          <w:ilvl w:val="0"/>
          <w:numId w:val="1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That no occupier is present, and waiting for their return might defeat the purpose of the entry.</w:t>
      </w:r>
    </w:p>
    <w:p w14:paraId="3462B605"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Following </w:t>
      </w:r>
      <w:proofErr w:type="gramStart"/>
      <w:r w:rsidRPr="0048506E">
        <w:rPr>
          <w:rFonts w:ascii="Aptos" w:eastAsia="Calibri" w:hAnsi="Aptos" w:cs="Times New Roman"/>
          <w:color w:val="000000"/>
          <w:kern w:val="0"/>
          <w:lang w:val="en-US"/>
          <w14:ligatures w14:val="none"/>
        </w:rPr>
        <w:t>a s118</w:t>
      </w:r>
      <w:proofErr w:type="gramEnd"/>
      <w:r w:rsidRPr="0048506E">
        <w:rPr>
          <w:rFonts w:ascii="Aptos" w:eastAsia="Calibri" w:hAnsi="Aptos" w:cs="Times New Roman"/>
          <w:color w:val="000000"/>
          <w:kern w:val="0"/>
          <w:lang w:val="en-US"/>
          <w14:ligatures w14:val="none"/>
        </w:rPr>
        <w:t xml:space="preserve"> or s121 Renters’ Rights Act 2025 entry, s122 allows an officer at any reasonable time to require a relevant person on the premises to produce any documents relating to the business and to </w:t>
      </w:r>
      <w:proofErr w:type="gramStart"/>
      <w:r w:rsidRPr="0048506E">
        <w:rPr>
          <w:rFonts w:ascii="Aptos" w:eastAsia="Calibri" w:hAnsi="Aptos" w:cs="Times New Roman"/>
          <w:color w:val="000000"/>
          <w:kern w:val="0"/>
          <w:lang w:val="en-US"/>
          <w14:ligatures w14:val="none"/>
        </w:rPr>
        <w:t>take</w:t>
      </w:r>
      <w:proofErr w:type="gramEnd"/>
      <w:r w:rsidRPr="0048506E">
        <w:rPr>
          <w:rFonts w:ascii="Aptos" w:eastAsia="Calibri" w:hAnsi="Aptos" w:cs="Times New Roman"/>
          <w:color w:val="000000"/>
          <w:kern w:val="0"/>
          <w:lang w:val="en-US"/>
          <w14:ligatures w14:val="none"/>
        </w:rPr>
        <w:t xml:space="preserve"> copies of them. This may only be exercised to ascertain whether there has been a breach of the Rented Accommodation Legislation where an officer reasonably suspects there has been a breach or an offence; or to ascertain whether the documents may be required in evidence for proceedings regarding a breach or offence.</w:t>
      </w:r>
    </w:p>
    <w:p w14:paraId="49EDB089"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Following a s118 or s121 Renters’ Rights Act 2025 entry, s123 </w:t>
      </w:r>
      <w:proofErr w:type="spellStart"/>
      <w:r w:rsidRPr="0048506E">
        <w:rPr>
          <w:rFonts w:ascii="Aptos" w:eastAsia="Calibri" w:hAnsi="Aptos" w:cs="Times New Roman"/>
          <w:color w:val="000000"/>
          <w:kern w:val="0"/>
          <w:lang w:val="en-US"/>
          <w14:ligatures w14:val="none"/>
        </w:rPr>
        <w:t>authorises</w:t>
      </w:r>
      <w:proofErr w:type="spellEnd"/>
      <w:r w:rsidRPr="0048506E">
        <w:rPr>
          <w:rFonts w:ascii="Aptos" w:eastAsia="Calibri" w:hAnsi="Aptos" w:cs="Times New Roman"/>
          <w:color w:val="000000"/>
          <w:kern w:val="0"/>
          <w:lang w:val="en-US"/>
          <w14:ligatures w14:val="none"/>
        </w:rPr>
        <w:t xml:space="preserve"> Council officers to seize and detain documents that the officer reasonably suspects may be required as evidence in proceedings relating to a breach of, or an offence under, the Rented Accommodation Legislation. When doing so, the officer will provide evidence of the officer's identity and authority if reasonably practicable. The officer will take reasonable steps to inform the person from whom documents have been seized that they have been </w:t>
      </w:r>
      <w:proofErr w:type="gramStart"/>
      <w:r w:rsidRPr="0048506E">
        <w:rPr>
          <w:rFonts w:ascii="Aptos" w:eastAsia="Calibri" w:hAnsi="Aptos" w:cs="Times New Roman"/>
          <w:color w:val="000000"/>
          <w:kern w:val="0"/>
          <w:lang w:val="en-US"/>
          <w14:ligatures w14:val="none"/>
        </w:rPr>
        <w:t>seized, and</w:t>
      </w:r>
      <w:proofErr w:type="gramEnd"/>
      <w:r w:rsidRPr="0048506E">
        <w:rPr>
          <w:rFonts w:ascii="Aptos" w:eastAsia="Calibri" w:hAnsi="Aptos" w:cs="Times New Roman"/>
          <w:color w:val="000000"/>
          <w:kern w:val="0"/>
          <w:lang w:val="en-US"/>
          <w14:ligatures w14:val="none"/>
        </w:rPr>
        <w:t xml:space="preserve"> will provide that person with a written record of what has been taken.</w:t>
      </w:r>
    </w:p>
    <w:p w14:paraId="3E9A65FD"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S126 Renters’ Rights Act 2025 permits the Council to enter residential premises used for a tenancy at a reasonable time if the officer considers it necessary as part of an investigation into potential offences specified in subsection 1(b). Where required, the Council will give at least 24 hours’ notice of this to the occupier and individuals with an interest in the property as per subsection 1(c), detailing in writing why the entry is necessary and the suspected offences. Where there are occupiers found on the premises, the officer will provide evidence of the officer's identity and authority to at least one of the occupiers if reasonably practicable.</w:t>
      </w:r>
    </w:p>
    <w:p w14:paraId="44477C2B"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In addition, s239 Housing Act 2004 permits Council officers to enter, if necessary and at a reasonable time, a property </w:t>
      </w:r>
      <w:proofErr w:type="gramStart"/>
      <w:r w:rsidRPr="0048506E">
        <w:rPr>
          <w:rFonts w:ascii="Aptos" w:eastAsia="Calibri" w:hAnsi="Aptos" w:cs="Times New Roman"/>
          <w:color w:val="000000"/>
          <w:kern w:val="0"/>
          <w:lang w:val="en-US"/>
          <w14:ligatures w14:val="none"/>
        </w:rPr>
        <w:t>in order to</w:t>
      </w:r>
      <w:proofErr w:type="gramEnd"/>
      <w:r w:rsidRPr="0048506E">
        <w:rPr>
          <w:rFonts w:ascii="Aptos" w:eastAsia="Calibri" w:hAnsi="Aptos" w:cs="Times New Roman"/>
          <w:color w:val="000000"/>
          <w:kern w:val="0"/>
          <w:lang w:val="en-US"/>
          <w14:ligatures w14:val="none"/>
        </w:rPr>
        <w:t xml:space="preserve"> carry out a survey or examination. This may be done if any one of the following is met:</w:t>
      </w:r>
    </w:p>
    <w:p w14:paraId="05734E9F" w14:textId="77777777" w:rsidR="0048506E" w:rsidRPr="0048506E" w:rsidRDefault="0048506E" w:rsidP="0048506E">
      <w:pPr>
        <w:numPr>
          <w:ilvl w:val="0"/>
          <w:numId w:val="2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to determine if any Part 1-4 enforcement functions should be exercised; </w:t>
      </w:r>
    </w:p>
    <w:p w14:paraId="339BEACD" w14:textId="77777777" w:rsidR="0048506E" w:rsidRPr="0048506E" w:rsidRDefault="0048506E" w:rsidP="0048506E">
      <w:pPr>
        <w:numPr>
          <w:ilvl w:val="0"/>
          <w:numId w:val="21"/>
        </w:numPr>
        <w:spacing w:line="278" w:lineRule="auto"/>
        <w:contextualSpacing/>
        <w:rPr>
          <w:rFonts w:ascii="Aptos" w:eastAsia="Calibri" w:hAnsi="Aptos" w:cs="Times New Roman"/>
          <w:color w:val="000000"/>
          <w:kern w:val="0"/>
          <w:lang w:val="en-US"/>
          <w14:ligatures w14:val="none"/>
        </w:rPr>
      </w:pPr>
      <w:proofErr w:type="gramStart"/>
      <w:r w:rsidRPr="0048506E">
        <w:rPr>
          <w:rFonts w:ascii="Aptos" w:eastAsia="Calibri" w:hAnsi="Aptos" w:cs="Times New Roman"/>
          <w:color w:val="000000"/>
          <w:kern w:val="0"/>
          <w:lang w:val="en-US"/>
          <w14:ligatures w14:val="none"/>
        </w:rPr>
        <w:t>the</w:t>
      </w:r>
      <w:proofErr w:type="gramEnd"/>
      <w:r w:rsidRPr="0048506E">
        <w:rPr>
          <w:rFonts w:ascii="Aptos" w:eastAsia="Calibri" w:hAnsi="Aptos" w:cs="Times New Roman"/>
          <w:color w:val="000000"/>
          <w:kern w:val="0"/>
          <w:lang w:val="en-US"/>
          <w14:ligatures w14:val="none"/>
        </w:rPr>
        <w:t xml:space="preserve"> premises are part of an Improvement Notice or Prohibition Order; </w:t>
      </w:r>
    </w:p>
    <w:p w14:paraId="7F8B876C" w14:textId="77777777" w:rsidR="0048506E" w:rsidRPr="0048506E" w:rsidRDefault="0048506E" w:rsidP="0048506E">
      <w:pPr>
        <w:numPr>
          <w:ilvl w:val="0"/>
          <w:numId w:val="21"/>
        </w:numPr>
        <w:spacing w:line="278" w:lineRule="auto"/>
        <w:contextualSpacing/>
        <w:rPr>
          <w:rFonts w:ascii="Aptos" w:eastAsia="Calibri" w:hAnsi="Aptos" w:cs="Times New Roman"/>
          <w:color w:val="000000"/>
          <w:kern w:val="0"/>
          <w:lang w:val="en-US"/>
          <w14:ligatures w14:val="none"/>
        </w:rPr>
      </w:pPr>
      <w:proofErr w:type="gramStart"/>
      <w:r w:rsidRPr="0048506E">
        <w:rPr>
          <w:rFonts w:ascii="Aptos" w:eastAsia="Calibri" w:hAnsi="Aptos" w:cs="Times New Roman"/>
          <w:color w:val="000000"/>
          <w:kern w:val="0"/>
          <w:lang w:val="en-US"/>
          <w14:ligatures w14:val="none"/>
        </w:rPr>
        <w:lastRenderedPageBreak/>
        <w:t>a management</w:t>
      </w:r>
      <w:proofErr w:type="gramEnd"/>
      <w:r w:rsidRPr="0048506E">
        <w:rPr>
          <w:rFonts w:ascii="Aptos" w:eastAsia="Calibri" w:hAnsi="Aptos" w:cs="Times New Roman"/>
          <w:color w:val="000000"/>
          <w:kern w:val="0"/>
          <w:lang w:val="en-US"/>
          <w14:ligatures w14:val="none"/>
        </w:rPr>
        <w:t xml:space="preserve"> order is in force under Chapter 1 or 2 of Part 4 on the premises.</w:t>
      </w:r>
    </w:p>
    <w:p w14:paraId="26D728FB" w14:textId="77777777" w:rsidR="0048506E" w:rsidRPr="0048506E" w:rsidRDefault="0048506E" w:rsidP="0048506E">
      <w:pPr>
        <w:spacing w:line="278" w:lineRule="auto"/>
        <w:ind w:left="1080"/>
        <w:contextualSpacing/>
        <w:rPr>
          <w:rFonts w:ascii="Aptos" w:eastAsia="Calibri" w:hAnsi="Aptos" w:cs="Times New Roman"/>
          <w:color w:val="000000"/>
          <w:kern w:val="0"/>
          <w:lang w:val="en-US"/>
          <w14:ligatures w14:val="none"/>
        </w:rPr>
      </w:pPr>
    </w:p>
    <w:p w14:paraId="274BEAA5"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In certain circumstance the Council may obtain a warrant to enter, by </w:t>
      </w:r>
      <w:proofErr w:type="gramStart"/>
      <w:r w:rsidRPr="0048506E">
        <w:rPr>
          <w:rFonts w:ascii="Aptos" w:eastAsia="Calibri" w:hAnsi="Aptos" w:cs="Times New Roman"/>
          <w:color w:val="000000"/>
          <w:kern w:val="0"/>
          <w:lang w:val="en-US"/>
          <w14:ligatures w14:val="none"/>
        </w:rPr>
        <w:t>force</w:t>
      </w:r>
      <w:proofErr w:type="gramEnd"/>
      <w:r w:rsidRPr="0048506E">
        <w:rPr>
          <w:rFonts w:ascii="Aptos" w:eastAsia="Calibri" w:hAnsi="Aptos" w:cs="Times New Roman"/>
          <w:color w:val="000000"/>
          <w:kern w:val="0"/>
          <w:lang w:val="en-US"/>
          <w14:ligatures w14:val="none"/>
        </w:rPr>
        <w:t xml:space="preserve"> if necessary, under s240 Housing Act 2004.</w:t>
      </w:r>
    </w:p>
    <w:p w14:paraId="26757E08" w14:textId="77777777" w:rsidR="0048506E" w:rsidRPr="0048506E" w:rsidRDefault="0048506E" w:rsidP="0048506E">
      <w:pPr>
        <w:rPr>
          <w:rFonts w:ascii="Aptos" w:eastAsia="Calibri" w:hAnsi="Aptos" w:cs="Times New Roman"/>
          <w:b/>
          <w:bCs/>
          <w:color w:val="004254"/>
          <w:kern w:val="0"/>
          <w:lang w:val="en-US"/>
          <w14:ligatures w14:val="none"/>
        </w:rPr>
      </w:pPr>
      <w:r w:rsidRPr="0048506E">
        <w:rPr>
          <w:rFonts w:ascii="Aptos" w:eastAsia="Calibri" w:hAnsi="Aptos" w:cs="Times New Roman"/>
          <w:b/>
          <w:bCs/>
          <w:color w:val="004254"/>
          <w:kern w:val="0"/>
          <w:lang w:val="en-US"/>
          <w14:ligatures w14:val="none"/>
        </w:rPr>
        <w:t>Informal action</w:t>
      </w:r>
    </w:p>
    <w:p w14:paraId="0470B454"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Informal action taken by the Council may be written or verbal advice. Additionally, a visit may be made at the outset by Council Officers in cases where the initial complaint indicates that an immediate investigation by a Council officer is warranted. </w:t>
      </w:r>
    </w:p>
    <w:p w14:paraId="72C2AF90"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In cases where officers visit an address, whether this is a result of a landlord’s failure to adequately resolve a highlighted issue or as part of an audit or other investigation, written or verbal advice may be deemed sufficient should the inspection highlight only very minor deficiencies.</w:t>
      </w:r>
    </w:p>
    <w:p w14:paraId="31D6183B"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Where written advice is deemed appropriate by the Council and is provided, timescales will normally be included to undertake any specified work or actions. </w:t>
      </w:r>
    </w:p>
    <w:p w14:paraId="7D6C5F14"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While the Council will use its discretion on whether to carry out informal action for a Category 2 hazard, it does not need to provide written or verbal advice before commencing formal action.</w:t>
      </w:r>
    </w:p>
    <w:p w14:paraId="418885B1" w14:textId="77777777" w:rsidR="0048506E" w:rsidRPr="0048506E" w:rsidRDefault="0048506E" w:rsidP="0048506E">
      <w:pPr>
        <w:rPr>
          <w:rFonts w:ascii="Aptos" w:eastAsia="Calibri" w:hAnsi="Aptos" w:cs="Times New Roman"/>
          <w:b/>
          <w:bCs/>
          <w:color w:val="004254"/>
          <w:kern w:val="0"/>
          <w:lang w:val="en-US"/>
          <w14:ligatures w14:val="none"/>
        </w:rPr>
      </w:pPr>
      <w:r w:rsidRPr="0048506E">
        <w:rPr>
          <w:rFonts w:ascii="Aptos" w:eastAsia="Calibri" w:hAnsi="Aptos" w:cs="Times New Roman"/>
          <w:b/>
          <w:bCs/>
          <w:color w:val="004254"/>
          <w:kern w:val="0"/>
          <w:lang w:val="en-US"/>
          <w14:ligatures w14:val="none"/>
        </w:rPr>
        <w:t>Formal action</w:t>
      </w:r>
    </w:p>
    <w:p w14:paraId="2D7DA1DB"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If formal action is considered appropriate, the following options are available to the Council.</w:t>
      </w:r>
    </w:p>
    <w:p w14:paraId="47B71E22" w14:textId="77777777" w:rsidR="0048506E" w:rsidRPr="0048506E" w:rsidRDefault="0048506E" w:rsidP="0048506E">
      <w:pPr>
        <w:rPr>
          <w:rFonts w:ascii="Aptos" w:eastAsia="Calibri" w:hAnsi="Aptos" w:cs="Times New Roman"/>
          <w:color w:val="004254"/>
          <w:kern w:val="0"/>
          <w:lang w:val="en-US"/>
          <w14:ligatures w14:val="none"/>
        </w:rPr>
      </w:pPr>
      <w:r w:rsidRPr="0048506E">
        <w:rPr>
          <w:rFonts w:ascii="Aptos" w:eastAsia="Calibri" w:hAnsi="Aptos" w:cs="Times New Roman"/>
          <w:color w:val="004254"/>
          <w:kern w:val="0"/>
          <w:lang w:val="en-US"/>
          <w14:ligatures w14:val="none"/>
        </w:rPr>
        <w:t>Statutory notices</w:t>
      </w:r>
    </w:p>
    <w:p w14:paraId="570BD471"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S11 and s12 Housing Act 2004 permit the Council to issue a statutory Improvement Notice in respect of any Category 1 hazards and any Category 2 hazards on the property. This requires the person to whom it is served to undertake the remedial action specified on the Notice within a given timeframe. The mandated work and the timeframe will be determined by the Council depending on the nature and scale of the work.</w:t>
      </w:r>
    </w:p>
    <w:p w14:paraId="7BE1E7F0"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S30 Housing Act 2004 provides that failure to comply with a statutory Improvement Notice is a criminal offence, which will normally be followed by prosecution or the issuing of a civil penalty. The Council would view the offence of failing to comply with the requirements of an Improvement Notice as a significant issue, as it may expose tenants of a dwelling to one or more significant hazards.  </w:t>
      </w:r>
    </w:p>
    <w:p w14:paraId="248BC9D1"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Other formal notices served by the Council may not relate to the landlord undertaking remedial works but may cover a range of other matters including, but not limited to, exercising a right of entry under s.239 of the Housing Act 2004 and a request to provide information or the need to abate or avoid overcrowding.  </w:t>
      </w:r>
    </w:p>
    <w:p w14:paraId="21CA127F" w14:textId="77777777" w:rsidR="0048506E" w:rsidRPr="0048506E" w:rsidRDefault="0048506E" w:rsidP="0048506E">
      <w:pPr>
        <w:rPr>
          <w:rFonts w:ascii="Aptos" w:eastAsia="Calibri" w:hAnsi="Aptos" w:cs="Times New Roman"/>
          <w:color w:val="004254"/>
          <w:kern w:val="0"/>
          <w:lang w:val="en-US"/>
          <w14:ligatures w14:val="none"/>
        </w:rPr>
      </w:pPr>
      <w:r w:rsidRPr="0048506E">
        <w:rPr>
          <w:rFonts w:ascii="Aptos" w:eastAsia="Calibri" w:hAnsi="Aptos" w:cs="Times New Roman"/>
          <w:color w:val="004254"/>
          <w:kern w:val="0"/>
          <w:lang w:val="en-US"/>
          <w14:ligatures w14:val="none"/>
        </w:rPr>
        <w:t>Work in default</w:t>
      </w:r>
    </w:p>
    <w:p w14:paraId="6034551F"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color w:val="000000"/>
          <w:kern w:val="0"/>
          <w:lang w:val="en-US"/>
          <w14:ligatures w14:val="none"/>
        </w:rPr>
        <w:t>The</w:t>
      </w:r>
      <w:r w:rsidRPr="0048506E">
        <w:rPr>
          <w:rFonts w:ascii="Aptos" w:eastAsia="Calibri" w:hAnsi="Aptos" w:cs="Times New Roman"/>
          <w:kern w:val="0"/>
          <w:lang w:val="en-US"/>
          <w14:ligatures w14:val="none"/>
        </w:rPr>
        <w:t xml:space="preserve"> enforcement options for non-compliance with formal Notices or breach of </w:t>
      </w:r>
      <w:proofErr w:type="spellStart"/>
      <w:r w:rsidRPr="0048506E">
        <w:rPr>
          <w:rFonts w:ascii="Aptos" w:eastAsia="Calibri" w:hAnsi="Aptos" w:cs="Times New Roman"/>
          <w:kern w:val="0"/>
          <w:lang w:val="en-US"/>
          <w14:ligatures w14:val="none"/>
        </w:rPr>
        <w:t>licence</w:t>
      </w:r>
      <w:proofErr w:type="spellEnd"/>
      <w:r w:rsidRPr="0048506E">
        <w:rPr>
          <w:rFonts w:ascii="Aptos" w:eastAsia="Calibri" w:hAnsi="Aptos" w:cs="Times New Roman"/>
          <w:kern w:val="0"/>
          <w:lang w:val="en-US"/>
          <w14:ligatures w14:val="none"/>
        </w:rPr>
        <w:t xml:space="preserve"> conditions include the carrying out of </w:t>
      </w:r>
      <w:proofErr w:type="gramStart"/>
      <w:r w:rsidRPr="0048506E">
        <w:rPr>
          <w:rFonts w:ascii="Aptos" w:eastAsia="Calibri" w:hAnsi="Aptos" w:cs="Times New Roman"/>
          <w:kern w:val="0"/>
          <w:lang w:val="en-US"/>
          <w14:ligatures w14:val="none"/>
        </w:rPr>
        <w:t>works</w:t>
      </w:r>
      <w:proofErr w:type="gramEnd"/>
      <w:r w:rsidRPr="0048506E">
        <w:rPr>
          <w:rFonts w:ascii="Aptos" w:eastAsia="Calibri" w:hAnsi="Aptos" w:cs="Times New Roman"/>
          <w:kern w:val="0"/>
          <w:lang w:val="en-US"/>
          <w14:ligatures w14:val="none"/>
        </w:rPr>
        <w:t xml:space="preserve"> specified in the Notice and taking steps to recover any costs incurred, including costs incurred in administering the work in default, plus interest. This power may be exercised in addition to other enforcement proceedings taken for non-compliance. The Council has no duty to undertake works in </w:t>
      </w:r>
      <w:r w:rsidRPr="0048506E">
        <w:rPr>
          <w:rFonts w:ascii="Aptos" w:eastAsia="Calibri" w:hAnsi="Aptos" w:cs="Times New Roman"/>
          <w:kern w:val="0"/>
          <w:lang w:val="en-US"/>
          <w14:ligatures w14:val="none"/>
        </w:rPr>
        <w:lastRenderedPageBreak/>
        <w:t>default and it will be at its discretion. The costs and any interest may be held as a local land charge against the property until paid.</w:t>
      </w:r>
    </w:p>
    <w:p w14:paraId="52B26EF0" w14:textId="77777777" w:rsidR="0048506E" w:rsidRPr="0048506E" w:rsidRDefault="0048506E" w:rsidP="0048506E">
      <w:pPr>
        <w:rPr>
          <w:rFonts w:ascii="Aptos" w:eastAsia="Calibri" w:hAnsi="Aptos" w:cs="Times New Roman"/>
          <w:color w:val="004254"/>
          <w:kern w:val="0"/>
          <w:lang w:val="en-US"/>
          <w14:ligatures w14:val="none"/>
        </w:rPr>
      </w:pPr>
      <w:r w:rsidRPr="0048506E">
        <w:rPr>
          <w:rFonts w:ascii="Aptos" w:eastAsia="Calibri" w:hAnsi="Aptos" w:cs="Times New Roman"/>
          <w:color w:val="004254"/>
          <w:kern w:val="0"/>
          <w:lang w:val="en-US"/>
          <w14:ligatures w14:val="none"/>
        </w:rPr>
        <w:t>Emergency or suspended enforcement action</w:t>
      </w:r>
    </w:p>
    <w:p w14:paraId="2256BD83"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Where there is a Category 1 hazard present, s43 Housing Act 2004 permits the Council to issue an Emergency Prohibition Order. This immediately prohibits the use of all or part of a dwelling if there is an imminent risk of serious harm to the health or safety of the occupants or others. </w:t>
      </w:r>
    </w:p>
    <w:p w14:paraId="74B119A3"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S40 Housing Act 2004 allows the Council to undertake Emergency Remedial Action on </w:t>
      </w:r>
      <w:proofErr w:type="gramStart"/>
      <w:r w:rsidRPr="0048506E">
        <w:rPr>
          <w:rFonts w:ascii="Aptos" w:eastAsia="Calibri" w:hAnsi="Aptos" w:cs="Times New Roman"/>
          <w:color w:val="000000"/>
          <w:kern w:val="0"/>
          <w:lang w:val="en-US"/>
          <w14:ligatures w14:val="none"/>
        </w:rPr>
        <w:t>the Category</w:t>
      </w:r>
      <w:proofErr w:type="gramEnd"/>
      <w:r w:rsidRPr="0048506E">
        <w:rPr>
          <w:rFonts w:ascii="Aptos" w:eastAsia="Calibri" w:hAnsi="Aptos" w:cs="Times New Roman"/>
          <w:color w:val="000000"/>
          <w:kern w:val="0"/>
          <w:lang w:val="en-US"/>
          <w14:ligatures w14:val="none"/>
        </w:rPr>
        <w:t xml:space="preserve"> 1 hazard without prior notice. The Council may then seek reimbursement of costs incurred on the work and the administration of the scheme.</w:t>
      </w:r>
    </w:p>
    <w:p w14:paraId="49317441"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The Council also has the power to suspend action taken under Part 1 Housing Act 2004 in situations where it has the power or duty to take enforcement action through the service of an Improvement Notice or Prohibition Order. This will be at the Council’s discretion and will normally be considered for the purpose of </w:t>
      </w:r>
      <w:proofErr w:type="spellStart"/>
      <w:r w:rsidRPr="0048506E">
        <w:rPr>
          <w:rFonts w:ascii="Aptos" w:eastAsia="Calibri" w:hAnsi="Aptos" w:cs="Times New Roman"/>
          <w:color w:val="000000"/>
          <w:kern w:val="0"/>
          <w:lang w:val="en-US"/>
          <w14:ligatures w14:val="none"/>
        </w:rPr>
        <w:t>minimising</w:t>
      </w:r>
      <w:proofErr w:type="spellEnd"/>
      <w:r w:rsidRPr="0048506E">
        <w:rPr>
          <w:rFonts w:ascii="Aptos" w:eastAsia="Calibri" w:hAnsi="Aptos" w:cs="Times New Roman"/>
          <w:color w:val="000000"/>
          <w:kern w:val="0"/>
          <w:lang w:val="en-US"/>
          <w14:ligatures w14:val="none"/>
        </w:rPr>
        <w:t xml:space="preserve"> inconvenience to the current occupiers. </w:t>
      </w:r>
    </w:p>
    <w:p w14:paraId="0945CD24" w14:textId="77777777" w:rsidR="0048506E" w:rsidRPr="0048506E" w:rsidRDefault="0048506E" w:rsidP="0048506E">
      <w:pPr>
        <w:rPr>
          <w:rFonts w:ascii="Aptos" w:eastAsia="Calibri" w:hAnsi="Aptos" w:cs="Times New Roman"/>
          <w:color w:val="004254"/>
          <w:kern w:val="0"/>
          <w:lang w:val="en-US"/>
          <w14:ligatures w14:val="none"/>
        </w:rPr>
      </w:pPr>
      <w:r w:rsidRPr="0048506E">
        <w:rPr>
          <w:rFonts w:ascii="Aptos" w:eastAsia="Calibri" w:hAnsi="Aptos" w:cs="Times New Roman"/>
          <w:color w:val="004254"/>
          <w:kern w:val="0"/>
          <w:lang w:val="en-US"/>
          <w14:ligatures w14:val="none"/>
        </w:rPr>
        <w:t>Prosecution</w:t>
      </w:r>
    </w:p>
    <w:p w14:paraId="55DB844A"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Where a Civil Financial Penalty is an available alternative to prosecution, the Council will only consider using its power to prosecute under Part 1 Housing Act 2004 in more serious cases.</w:t>
      </w:r>
    </w:p>
    <w:p w14:paraId="616EFD26"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The decision to prosecute will be determined by the evidential strength of the Council’s case and the relevant public interest factors set down by the Director of Public Prosecutions in the Code for Crown Prosecutors.  </w:t>
      </w:r>
    </w:p>
    <w:p w14:paraId="79F274B7"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In many circumstances, where an offence is committed by a body corporate, legislation enables local authorities to pursue </w:t>
      </w:r>
      <w:proofErr w:type="gramStart"/>
      <w:r w:rsidRPr="0048506E">
        <w:rPr>
          <w:rFonts w:ascii="Aptos" w:eastAsia="Calibri" w:hAnsi="Aptos" w:cs="Times New Roman"/>
          <w:color w:val="000000"/>
          <w:kern w:val="0"/>
          <w:lang w:val="en-US"/>
          <w14:ligatures w14:val="none"/>
        </w:rPr>
        <w:t>persons</w:t>
      </w:r>
      <w:proofErr w:type="gramEnd"/>
      <w:r w:rsidRPr="0048506E">
        <w:rPr>
          <w:rFonts w:ascii="Aptos" w:eastAsia="Calibri" w:hAnsi="Aptos" w:cs="Times New Roman"/>
          <w:color w:val="000000"/>
          <w:kern w:val="0"/>
          <w:lang w:val="en-US"/>
          <w14:ligatures w14:val="none"/>
        </w:rPr>
        <w:t xml:space="preserve"> involved with the body corporate in addition to, or instead of, the body corporate. These include company officers and, where applicable, company members. </w:t>
      </w:r>
    </w:p>
    <w:p w14:paraId="65748F7B"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The Council will determine, on a case-by-case basis, whether to take enforcement action against any person or </w:t>
      </w:r>
      <w:proofErr w:type="gramStart"/>
      <w:r w:rsidRPr="0048506E">
        <w:rPr>
          <w:rFonts w:ascii="Aptos" w:eastAsia="Calibri" w:hAnsi="Aptos" w:cs="Times New Roman"/>
          <w:color w:val="000000"/>
          <w:kern w:val="0"/>
          <w:lang w:val="en-US"/>
          <w14:ligatures w14:val="none"/>
        </w:rPr>
        <w:t>persons</w:t>
      </w:r>
      <w:proofErr w:type="gramEnd"/>
      <w:r w:rsidRPr="0048506E">
        <w:rPr>
          <w:rFonts w:ascii="Aptos" w:eastAsia="Calibri" w:hAnsi="Aptos" w:cs="Times New Roman"/>
          <w:color w:val="000000"/>
          <w:kern w:val="0"/>
          <w:lang w:val="en-US"/>
          <w14:ligatures w14:val="none"/>
        </w:rPr>
        <w:t xml:space="preserve"> that they consider fall within the scope of this category in addition to prosecuting the body corporate.</w:t>
      </w:r>
    </w:p>
    <w:p w14:paraId="43B15D64" w14:textId="77777777" w:rsidR="0048506E" w:rsidRPr="0048506E" w:rsidRDefault="0048506E" w:rsidP="0048506E">
      <w:pPr>
        <w:rPr>
          <w:rFonts w:ascii="Aptos" w:eastAsia="Calibri" w:hAnsi="Aptos" w:cs="Times New Roman"/>
          <w:color w:val="004254"/>
          <w:kern w:val="0"/>
          <w:lang w:val="en-US"/>
          <w14:ligatures w14:val="none"/>
        </w:rPr>
      </w:pPr>
      <w:r w:rsidRPr="0048506E">
        <w:rPr>
          <w:rFonts w:ascii="Aptos" w:eastAsia="Calibri" w:hAnsi="Aptos" w:cs="Times New Roman"/>
          <w:color w:val="004254"/>
          <w:kern w:val="0"/>
          <w:lang w:val="en-US"/>
          <w14:ligatures w14:val="none"/>
        </w:rPr>
        <w:t>Civil Financial Penalties for specified offences</w:t>
      </w:r>
    </w:p>
    <w:p w14:paraId="06589AE6"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This section relates exclusively to Civil Financial Penalties issued by the Council for breaches of the </w:t>
      </w:r>
      <w:proofErr w:type="gramStart"/>
      <w:r w:rsidRPr="0048506E">
        <w:rPr>
          <w:rFonts w:ascii="Aptos" w:eastAsia="Calibri" w:hAnsi="Aptos" w:cs="Times New Roman"/>
          <w:color w:val="000000"/>
          <w:kern w:val="0"/>
          <w:lang w:val="en-US"/>
          <w14:ligatures w14:val="none"/>
        </w:rPr>
        <w:t>below housing law</w:t>
      </w:r>
      <w:proofErr w:type="gramEnd"/>
      <w:r w:rsidRPr="0048506E">
        <w:rPr>
          <w:rFonts w:ascii="Aptos" w:eastAsia="Calibri" w:hAnsi="Aptos" w:cs="Times New Roman"/>
          <w:color w:val="000000"/>
          <w:kern w:val="0"/>
          <w:lang w:val="en-US"/>
          <w14:ligatures w14:val="none"/>
        </w:rPr>
        <w:t xml:space="preserve">. </w:t>
      </w:r>
    </w:p>
    <w:p w14:paraId="103B2DAB"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The Council has the power to impose a Civil Financial Penalty for the following:</w:t>
      </w:r>
    </w:p>
    <w:p w14:paraId="4953B0DE" w14:textId="77777777" w:rsidR="0048506E" w:rsidRPr="0048506E" w:rsidRDefault="0048506E" w:rsidP="0048506E">
      <w:pPr>
        <w:numPr>
          <w:ilvl w:val="0"/>
          <w:numId w:val="10"/>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Unlawful eviction and harassment of </w:t>
      </w:r>
      <w:proofErr w:type="gramStart"/>
      <w:r w:rsidRPr="0048506E">
        <w:rPr>
          <w:rFonts w:ascii="Aptos" w:eastAsia="Calibri" w:hAnsi="Aptos" w:cs="Times New Roman"/>
          <w:color w:val="000000"/>
          <w:kern w:val="0"/>
          <w:lang w:val="en-US"/>
          <w14:ligatures w14:val="none"/>
        </w:rPr>
        <w:t>occupier</w:t>
      </w:r>
      <w:proofErr w:type="gramEnd"/>
      <w:r w:rsidRPr="0048506E">
        <w:rPr>
          <w:rFonts w:ascii="Aptos" w:eastAsia="Calibri" w:hAnsi="Aptos" w:cs="Times New Roman"/>
          <w:color w:val="000000"/>
          <w:kern w:val="0"/>
          <w:lang w:val="en-US"/>
          <w14:ligatures w14:val="none"/>
        </w:rPr>
        <w:t xml:space="preserve"> as defined under the Protection from Eviction Act 1997</w:t>
      </w:r>
    </w:p>
    <w:p w14:paraId="2AB513E2" w14:textId="77777777" w:rsidR="0048506E" w:rsidRPr="0048506E" w:rsidRDefault="0048506E" w:rsidP="0048506E">
      <w:pPr>
        <w:numPr>
          <w:ilvl w:val="0"/>
          <w:numId w:val="10"/>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Failure to comply with an Improvement Notice [s30 Housing Act 2004] </w:t>
      </w:r>
    </w:p>
    <w:p w14:paraId="7FC899C4" w14:textId="77777777" w:rsidR="0048506E" w:rsidRPr="0048506E" w:rsidRDefault="0048506E" w:rsidP="0048506E">
      <w:pPr>
        <w:numPr>
          <w:ilvl w:val="0"/>
          <w:numId w:val="9"/>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Offences in relation to licensing of Houses in Multiple Occupation (HMOs) [s72 Housing Act 2004] </w:t>
      </w:r>
    </w:p>
    <w:p w14:paraId="4DBFFE25" w14:textId="77777777" w:rsidR="0048506E" w:rsidRPr="0048506E" w:rsidRDefault="0048506E" w:rsidP="0048506E">
      <w:pPr>
        <w:numPr>
          <w:ilvl w:val="0"/>
          <w:numId w:val="8"/>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Offences in relation to the Selective Licensing of ‘houses’ [s95 Housing Act 2004] </w:t>
      </w:r>
    </w:p>
    <w:p w14:paraId="5985BAB7" w14:textId="77777777" w:rsidR="0048506E" w:rsidRPr="0048506E" w:rsidRDefault="0048506E" w:rsidP="0048506E">
      <w:pPr>
        <w:numPr>
          <w:ilvl w:val="0"/>
          <w:numId w:val="7"/>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Failure to comply with an Overcrowding Notice [s139 Housing Act 2004] </w:t>
      </w:r>
    </w:p>
    <w:p w14:paraId="7A58E02F" w14:textId="77777777" w:rsidR="0048506E" w:rsidRPr="0048506E" w:rsidRDefault="0048506E" w:rsidP="0048506E">
      <w:pPr>
        <w:numPr>
          <w:ilvl w:val="0"/>
          <w:numId w:val="7"/>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lastRenderedPageBreak/>
        <w:t>Failure to comply with a management regulation in respect of an HMO [s234 Housing Act 2004]</w:t>
      </w:r>
    </w:p>
    <w:p w14:paraId="3E9D65E2"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Offences in relation to Regulation 3 of the Electrical Safety Standards in the Private Rented Sector (England) Regulations 2020</w:t>
      </w:r>
    </w:p>
    <w:p w14:paraId="375A5DDA"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Failure to comply with a banning order [s21 Housing and Planning Act 2016]</w:t>
      </w:r>
    </w:p>
    <w:p w14:paraId="20CF4A5D"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Failure to give a written statement of terms under section 16D of the Housing Act 1988</w:t>
      </w:r>
    </w:p>
    <w:p w14:paraId="4B64A747"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Failure to give an existing tenant information about changes made by the Renters’ Rights Act under paragraph 7(2) of schedule 6 to the Renters’ Rights Act 2025</w:t>
      </w:r>
    </w:p>
    <w:p w14:paraId="6F72324C"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Attempting to </w:t>
      </w:r>
      <w:proofErr w:type="gramStart"/>
      <w:r w:rsidRPr="0048506E">
        <w:rPr>
          <w:rFonts w:ascii="Aptos" w:eastAsia="Calibri" w:hAnsi="Aptos" w:cs="Times New Roman"/>
          <w:color w:val="000000"/>
          <w:kern w:val="0"/>
          <w:lang w:val="en-US"/>
          <w14:ligatures w14:val="none"/>
        </w:rPr>
        <w:t>let</w:t>
      </w:r>
      <w:proofErr w:type="gramEnd"/>
      <w:r w:rsidRPr="0048506E">
        <w:rPr>
          <w:rFonts w:ascii="Aptos" w:eastAsia="Calibri" w:hAnsi="Aptos" w:cs="Times New Roman"/>
          <w:color w:val="000000"/>
          <w:kern w:val="0"/>
          <w:lang w:val="en-US"/>
          <w14:ligatures w14:val="none"/>
        </w:rPr>
        <w:t xml:space="preserve"> a property for a fixed term under section 16E of the Housing Act 1988</w:t>
      </w:r>
    </w:p>
    <w:p w14:paraId="0B006FD8"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Attempting to end a tenancy orally or by service of a notice to quit under section 16E of the Housing Act 1988</w:t>
      </w:r>
    </w:p>
    <w:p w14:paraId="2ACF6A0B"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Serving an eviction notice that attempts to end a tenancy outside the prescribed section 8 process under section 16E of the Housing Act 1988</w:t>
      </w:r>
    </w:p>
    <w:p w14:paraId="7223E0CA"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Relying on a ground where the person does not reasonably believe that the landlord is/will be able to obtain possession under section 16E of the Housing Act 1988</w:t>
      </w:r>
    </w:p>
    <w:p w14:paraId="65739972"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Relying on a ground knowing the landlord would not be able to obtain possession or being reckless as to whether they would under section 16J of the Housing Act 1988</w:t>
      </w:r>
    </w:p>
    <w:p w14:paraId="1ED29231"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Failing to provide a tenant with prior notice that a ground which requires it may be used under section 16E of the Housing Act 1988</w:t>
      </w:r>
    </w:p>
    <w:p w14:paraId="0F3F2B3C"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Reletting or </w:t>
      </w:r>
      <w:proofErr w:type="gramStart"/>
      <w:r w:rsidRPr="0048506E">
        <w:rPr>
          <w:rFonts w:ascii="Aptos" w:eastAsia="Calibri" w:hAnsi="Aptos" w:cs="Times New Roman"/>
          <w:color w:val="000000"/>
          <w:kern w:val="0"/>
          <w:lang w:val="en-US"/>
          <w14:ligatures w14:val="none"/>
        </w:rPr>
        <w:t>remarketing</w:t>
      </w:r>
      <w:proofErr w:type="gramEnd"/>
      <w:r w:rsidRPr="0048506E">
        <w:rPr>
          <w:rFonts w:ascii="Aptos" w:eastAsia="Calibri" w:hAnsi="Aptos" w:cs="Times New Roman"/>
          <w:color w:val="000000"/>
          <w:kern w:val="0"/>
          <w:lang w:val="en-US"/>
          <w14:ligatures w14:val="none"/>
        </w:rPr>
        <w:t xml:space="preserve"> a property before expiry of the 12 month no-let period after using the moving and selling grounds under sections 16E and 16J of the Housing Act 1988</w:t>
      </w:r>
    </w:p>
    <w:p w14:paraId="056A5094"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Discriminating against prospective tenants during the letting process on the grounds that those tenants are in receipt of benefits or have children under sections 33 and 34 of the Renters’ Rights Act 2025</w:t>
      </w:r>
    </w:p>
    <w:p w14:paraId="5AA1DE95"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Marketing a letting without stating the proposed rent under section 56 of the Renters’ Rights Act 2025</w:t>
      </w:r>
    </w:p>
    <w:p w14:paraId="0EE4E967"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Inviting or encouraging any person to offer to pay an amount of rent under the proposed letting that exceeds the stated rent under section 56 of the Renters’ Rights Act 2025</w:t>
      </w:r>
    </w:p>
    <w:p w14:paraId="7EDABDC6" w14:textId="77777777" w:rsidR="0048506E" w:rsidRPr="0048506E" w:rsidRDefault="0048506E" w:rsidP="0048506E">
      <w:pPr>
        <w:numPr>
          <w:ilvl w:val="0"/>
          <w:numId w:val="6"/>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Accepting an offer from any person to pay an amount of rent under the proposed letting that exceeds the stated rent under section 56 of the Renters’ Rights Act 2025</w:t>
      </w:r>
    </w:p>
    <w:p w14:paraId="28AF5F53" w14:textId="77777777" w:rsidR="0048506E" w:rsidRPr="0048506E" w:rsidRDefault="0048506E" w:rsidP="0048506E">
      <w:pPr>
        <w:spacing w:line="278" w:lineRule="auto"/>
        <w:ind w:left="720"/>
        <w:contextualSpacing/>
        <w:rPr>
          <w:rFonts w:ascii="Aptos" w:eastAsia="Calibri" w:hAnsi="Aptos" w:cs="Times New Roman"/>
          <w:color w:val="000000"/>
          <w:kern w:val="0"/>
          <w:lang w:val="en-US"/>
          <w14:ligatures w14:val="none"/>
        </w:rPr>
      </w:pPr>
    </w:p>
    <w:p w14:paraId="6AE8B982"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Civil Financial Penalties in respect of these offences operate according to their own independent standalone policy.</w:t>
      </w:r>
    </w:p>
    <w:p w14:paraId="7D219F91" w14:textId="77777777" w:rsidR="0048506E" w:rsidRPr="0048506E" w:rsidRDefault="0048506E" w:rsidP="0048506E">
      <w:pPr>
        <w:rPr>
          <w:rFonts w:ascii="Aptos" w:eastAsia="Calibri" w:hAnsi="Aptos" w:cs="Times New Roman"/>
          <w:color w:val="004254"/>
          <w:kern w:val="0"/>
          <w:lang w:val="en-US"/>
          <w14:ligatures w14:val="none"/>
        </w:rPr>
      </w:pPr>
      <w:r w:rsidRPr="0048506E">
        <w:rPr>
          <w:rFonts w:ascii="Aptos" w:eastAsia="Calibri" w:hAnsi="Aptos" w:cs="Times New Roman"/>
          <w:color w:val="004254"/>
          <w:kern w:val="0"/>
          <w:lang w:val="en-US"/>
          <w14:ligatures w14:val="none"/>
        </w:rPr>
        <w:t>Rent Repayment Orders</w:t>
      </w:r>
    </w:p>
    <w:p w14:paraId="0DF37AE2"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Part 2 of the Housing and Planning Act 2016 permits the Council to seek a Rent Repayment Order at the </w:t>
      </w:r>
      <w:proofErr w:type="gramStart"/>
      <w:r w:rsidRPr="0048506E">
        <w:rPr>
          <w:rFonts w:ascii="Aptos" w:eastAsia="Calibri" w:hAnsi="Aptos" w:cs="Times New Roman"/>
          <w:color w:val="000000"/>
          <w:kern w:val="0"/>
          <w:lang w:val="en-US"/>
          <w14:ligatures w14:val="none"/>
        </w:rPr>
        <w:t>First Tier</w:t>
      </w:r>
      <w:proofErr w:type="gramEnd"/>
      <w:r w:rsidRPr="0048506E">
        <w:rPr>
          <w:rFonts w:ascii="Aptos" w:eastAsia="Calibri" w:hAnsi="Aptos" w:cs="Times New Roman"/>
          <w:color w:val="000000"/>
          <w:kern w:val="0"/>
          <w:lang w:val="en-US"/>
          <w14:ligatures w14:val="none"/>
        </w:rPr>
        <w:t xml:space="preserve"> Tribunal Property Chamber to require the landlord of the property where the offence(s) has been committed to refund rent to the tenants or the Council. S48 of the Housing and Planning Act 2016 places a duty on the Council to consider applying for Rent Repayment Orders. </w:t>
      </w:r>
    </w:p>
    <w:p w14:paraId="50BDF7A8"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Where a landlord has been convicted or received a Civil Financial Penalty in respect of the offence, the Tribunal must award the maximum applicable amount, except in exceptional circumstances.</w:t>
      </w:r>
    </w:p>
    <w:p w14:paraId="22D2D3C8"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lastRenderedPageBreak/>
        <w:t xml:space="preserve">This power will be considered in response to all qualifying offences and where there is sufficient evidence for </w:t>
      </w:r>
      <w:proofErr w:type="gramStart"/>
      <w:r w:rsidRPr="0048506E">
        <w:rPr>
          <w:rFonts w:ascii="Aptos" w:eastAsia="Calibri" w:hAnsi="Aptos" w:cs="Times New Roman"/>
          <w:color w:val="000000"/>
          <w:kern w:val="0"/>
          <w:lang w:val="en-US"/>
          <w14:ligatures w14:val="none"/>
        </w:rPr>
        <w:t>a successful</w:t>
      </w:r>
      <w:proofErr w:type="gramEnd"/>
      <w:r w:rsidRPr="0048506E">
        <w:rPr>
          <w:rFonts w:ascii="Aptos" w:eastAsia="Calibri" w:hAnsi="Aptos" w:cs="Times New Roman"/>
          <w:color w:val="000000"/>
          <w:kern w:val="0"/>
          <w:lang w:val="en-US"/>
          <w14:ligatures w14:val="none"/>
        </w:rPr>
        <w:t xml:space="preserve"> application to the </w:t>
      </w:r>
      <w:proofErr w:type="gramStart"/>
      <w:r w:rsidRPr="0048506E">
        <w:rPr>
          <w:rFonts w:ascii="Aptos" w:eastAsia="Calibri" w:hAnsi="Aptos" w:cs="Times New Roman"/>
          <w:color w:val="000000"/>
          <w:kern w:val="0"/>
          <w:lang w:val="en-US"/>
          <w14:ligatures w14:val="none"/>
        </w:rPr>
        <w:t>First Tier</w:t>
      </w:r>
      <w:proofErr w:type="gramEnd"/>
      <w:r w:rsidRPr="0048506E">
        <w:rPr>
          <w:rFonts w:ascii="Aptos" w:eastAsia="Calibri" w:hAnsi="Aptos" w:cs="Times New Roman"/>
          <w:color w:val="000000"/>
          <w:kern w:val="0"/>
          <w:lang w:val="en-US"/>
          <w14:ligatures w14:val="none"/>
        </w:rPr>
        <w:t xml:space="preserve"> Tribunal.</w:t>
      </w:r>
    </w:p>
    <w:p w14:paraId="0D135AC7"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The qualifying offences are:</w:t>
      </w:r>
    </w:p>
    <w:p w14:paraId="3A8E43D5"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Unlawful eviction and harassment of </w:t>
      </w:r>
      <w:proofErr w:type="gramStart"/>
      <w:r w:rsidRPr="0048506E">
        <w:rPr>
          <w:rFonts w:ascii="Aptos" w:eastAsia="Calibri" w:hAnsi="Aptos" w:cs="Times New Roman"/>
          <w:color w:val="000000"/>
          <w:kern w:val="0"/>
          <w:lang w:val="en-US"/>
          <w14:ligatures w14:val="none"/>
        </w:rPr>
        <w:t>occupier</w:t>
      </w:r>
      <w:proofErr w:type="gramEnd"/>
      <w:r w:rsidRPr="0048506E">
        <w:rPr>
          <w:rFonts w:ascii="Aptos" w:eastAsia="Calibri" w:hAnsi="Aptos" w:cs="Times New Roman"/>
          <w:color w:val="000000"/>
          <w:kern w:val="0"/>
          <w:lang w:val="en-US"/>
          <w14:ligatures w14:val="none"/>
        </w:rPr>
        <w:t xml:space="preserve"> as defined under the Protection from Eviction Act 1997</w:t>
      </w:r>
    </w:p>
    <w:p w14:paraId="7ECD1D6A"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Failure to comply with an Improvement Notice [s30 Housing Act 2004] </w:t>
      </w:r>
    </w:p>
    <w:p w14:paraId="1DEE5FF3"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Offences in relation to unlicensed HMOs [s72(1) Housing Act 2004]</w:t>
      </w:r>
    </w:p>
    <w:p w14:paraId="5CE3AB3E"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Offences in relation to unlicensed houses [s95(1) Housing Act 2004]</w:t>
      </w:r>
    </w:p>
    <w:p w14:paraId="252D4BAE"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Failure to comply with an Improvement Notice [s30(1) Housing Act 2004]</w:t>
      </w:r>
    </w:p>
    <w:p w14:paraId="55BD2A1A"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Failure to comply with a Prohibition Order [s32(1) Housing Act 2004]</w:t>
      </w:r>
    </w:p>
    <w:p w14:paraId="550503C2"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Breach of a Banning Order [s21 Housing and Planning Act 2016]</w:t>
      </w:r>
    </w:p>
    <w:p w14:paraId="3C6DFAED"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Using Violence to secure entry [s6(1) Criminal Law Act 1977]</w:t>
      </w:r>
    </w:p>
    <w:p w14:paraId="62401A95"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Knowingly or recklessly misusing a possession ground [s16</w:t>
      </w:r>
      <w:proofErr w:type="gramStart"/>
      <w:r w:rsidRPr="0048506E">
        <w:rPr>
          <w:rFonts w:ascii="Aptos" w:eastAsia="Calibri" w:hAnsi="Aptos" w:cs="Times New Roman"/>
          <w:color w:val="000000"/>
          <w:kern w:val="0"/>
          <w:lang w:val="en-US"/>
          <w14:ligatures w14:val="none"/>
        </w:rPr>
        <w:t>J(</w:t>
      </w:r>
      <w:proofErr w:type="gramEnd"/>
      <w:r w:rsidRPr="0048506E">
        <w:rPr>
          <w:rFonts w:ascii="Aptos" w:eastAsia="Calibri" w:hAnsi="Aptos" w:cs="Times New Roman"/>
          <w:color w:val="000000"/>
          <w:kern w:val="0"/>
          <w:lang w:val="en-US"/>
          <w14:ligatures w14:val="none"/>
        </w:rPr>
        <w:t>1) Housing Act 1988]</w:t>
      </w:r>
    </w:p>
    <w:p w14:paraId="5048A0B7"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Letting or marketing of a property within twelve months of using the ‘moving in’ or ‘selling’ ground of eviction [s16</w:t>
      </w:r>
      <w:proofErr w:type="gramStart"/>
      <w:r w:rsidRPr="0048506E">
        <w:rPr>
          <w:rFonts w:ascii="Aptos" w:eastAsia="Calibri" w:hAnsi="Aptos" w:cs="Times New Roman"/>
          <w:color w:val="000000"/>
          <w:kern w:val="0"/>
          <w:lang w:val="en-US"/>
          <w14:ligatures w14:val="none"/>
        </w:rPr>
        <w:t>J(</w:t>
      </w:r>
      <w:proofErr w:type="gramEnd"/>
      <w:r w:rsidRPr="0048506E">
        <w:rPr>
          <w:rFonts w:ascii="Aptos" w:eastAsia="Calibri" w:hAnsi="Aptos" w:cs="Times New Roman"/>
          <w:color w:val="000000"/>
          <w:kern w:val="0"/>
          <w:lang w:val="en-US"/>
          <w14:ligatures w14:val="none"/>
        </w:rPr>
        <w:t>2) Housing Act 1988]</w:t>
      </w:r>
    </w:p>
    <w:p w14:paraId="0D4A7D7A" w14:textId="77777777" w:rsidR="0048506E" w:rsidRPr="0048506E" w:rsidRDefault="0048506E" w:rsidP="0048506E">
      <w:pPr>
        <w:numPr>
          <w:ilvl w:val="0"/>
          <w:numId w:val="1"/>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Continuous breach of certain tenancy reform requirements [s16</w:t>
      </w:r>
      <w:proofErr w:type="gramStart"/>
      <w:r w:rsidRPr="0048506E">
        <w:rPr>
          <w:rFonts w:ascii="Aptos" w:eastAsia="Calibri" w:hAnsi="Aptos" w:cs="Times New Roman"/>
          <w:color w:val="000000"/>
          <w:kern w:val="0"/>
          <w:lang w:val="en-US"/>
          <w14:ligatures w14:val="none"/>
        </w:rPr>
        <w:t>J(</w:t>
      </w:r>
      <w:proofErr w:type="gramEnd"/>
      <w:r w:rsidRPr="0048506E">
        <w:rPr>
          <w:rFonts w:ascii="Aptos" w:eastAsia="Calibri" w:hAnsi="Aptos" w:cs="Times New Roman"/>
          <w:color w:val="000000"/>
          <w:kern w:val="0"/>
          <w:lang w:val="en-US"/>
          <w14:ligatures w14:val="none"/>
        </w:rPr>
        <w:t>3) Housing Act 1988]</w:t>
      </w:r>
    </w:p>
    <w:p w14:paraId="7DBC617F" w14:textId="77777777" w:rsidR="0048506E" w:rsidRPr="0048506E" w:rsidRDefault="0048506E" w:rsidP="0048506E">
      <w:pPr>
        <w:spacing w:line="278" w:lineRule="auto"/>
        <w:ind w:left="720"/>
        <w:contextualSpacing/>
        <w:rPr>
          <w:rFonts w:ascii="Aptos" w:eastAsia="Calibri" w:hAnsi="Aptos" w:cs="Times New Roman"/>
          <w:color w:val="000000"/>
          <w:kern w:val="0"/>
          <w:lang w:val="en-US"/>
          <w14:ligatures w14:val="none"/>
        </w:rPr>
      </w:pPr>
    </w:p>
    <w:p w14:paraId="3EF53D79"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An application for an RRO may be in addition to other formal action, such as prosecution proceedings or the imposition of a Civil Penalty. Where the Council has issued a Civil Financial Penalty or pursued prosecution, it will usually apply for a Rent Repayment Order where public funds have been paid to a landlord who has committed a qualifying offence.</w:t>
      </w:r>
    </w:p>
    <w:p w14:paraId="61441A01"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S49 of the Housing and Planning Act 2016 enables the Council to assist tenants in applying for Rent Repayment Orders. The Council will usually assist tenants by referring or signposting them to Justice </w:t>
      </w:r>
      <w:proofErr w:type="gramStart"/>
      <w:r w:rsidRPr="0048506E">
        <w:rPr>
          <w:rFonts w:ascii="Aptos" w:eastAsia="Calibri" w:hAnsi="Aptos" w:cs="Times New Roman"/>
          <w:color w:val="000000"/>
          <w:kern w:val="0"/>
          <w:lang w:val="en-US"/>
          <w14:ligatures w14:val="none"/>
        </w:rPr>
        <w:t>For</w:t>
      </w:r>
      <w:proofErr w:type="gramEnd"/>
      <w:r w:rsidRPr="0048506E">
        <w:rPr>
          <w:rFonts w:ascii="Aptos" w:eastAsia="Calibri" w:hAnsi="Aptos" w:cs="Times New Roman"/>
          <w:color w:val="000000"/>
          <w:kern w:val="0"/>
          <w:lang w:val="en-US"/>
          <w14:ligatures w14:val="none"/>
        </w:rPr>
        <w:t xml:space="preserve"> Tenants.</w:t>
      </w:r>
    </w:p>
    <w:p w14:paraId="0CA68A68" w14:textId="77777777" w:rsidR="0048506E" w:rsidRPr="0048506E" w:rsidRDefault="0048506E" w:rsidP="0048506E">
      <w:pPr>
        <w:rPr>
          <w:rFonts w:ascii="Aptos" w:eastAsia="Calibri" w:hAnsi="Aptos" w:cs="Times New Roman"/>
          <w:color w:val="004254"/>
          <w:kern w:val="0"/>
          <w:lang w:val="en-US"/>
          <w14:ligatures w14:val="none"/>
        </w:rPr>
      </w:pPr>
      <w:r w:rsidRPr="0048506E">
        <w:rPr>
          <w:rFonts w:ascii="Aptos" w:eastAsia="Calibri" w:hAnsi="Aptos" w:cs="Times New Roman"/>
          <w:color w:val="004254"/>
          <w:kern w:val="0"/>
          <w:lang w:val="en-US"/>
          <w14:ligatures w14:val="none"/>
        </w:rPr>
        <w:t>Banning Orders</w:t>
      </w:r>
    </w:p>
    <w:p w14:paraId="6C187CCA"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Part 2, Chapter 2 of the Housing and Planning Act 2016 permits a Council to apply for a Banning Order against a person who has been convicted of one or more of the relevant offences. This would prevent the landlord from: </w:t>
      </w:r>
    </w:p>
    <w:p w14:paraId="02783664" w14:textId="77777777" w:rsidR="0048506E" w:rsidRPr="0048506E" w:rsidRDefault="0048506E" w:rsidP="0048506E">
      <w:pPr>
        <w:numPr>
          <w:ilvl w:val="0"/>
          <w:numId w:val="2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Letting housing in England; </w:t>
      </w:r>
    </w:p>
    <w:p w14:paraId="58CB481C" w14:textId="77777777" w:rsidR="0048506E" w:rsidRPr="0048506E" w:rsidRDefault="0048506E" w:rsidP="0048506E">
      <w:pPr>
        <w:numPr>
          <w:ilvl w:val="0"/>
          <w:numId w:val="2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Engaging in English letting agency work; </w:t>
      </w:r>
    </w:p>
    <w:p w14:paraId="099A3358" w14:textId="77777777" w:rsidR="0048506E" w:rsidRPr="0048506E" w:rsidRDefault="0048506E" w:rsidP="0048506E">
      <w:pPr>
        <w:numPr>
          <w:ilvl w:val="0"/>
          <w:numId w:val="2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Engaging in English property management work; or </w:t>
      </w:r>
    </w:p>
    <w:p w14:paraId="7BB060ED" w14:textId="77777777" w:rsidR="0048506E" w:rsidRPr="0048506E" w:rsidRDefault="0048506E" w:rsidP="0048506E">
      <w:pPr>
        <w:numPr>
          <w:ilvl w:val="0"/>
          <w:numId w:val="2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Doing two or more of those things.</w:t>
      </w:r>
    </w:p>
    <w:p w14:paraId="38835983" w14:textId="77777777" w:rsidR="0048506E" w:rsidRPr="0048506E" w:rsidRDefault="0048506E" w:rsidP="0048506E">
      <w:pPr>
        <w:spacing w:line="278" w:lineRule="auto"/>
        <w:ind w:left="1080"/>
        <w:contextualSpacing/>
        <w:rPr>
          <w:rFonts w:ascii="Aptos" w:eastAsia="Calibri" w:hAnsi="Aptos" w:cs="Times New Roman"/>
          <w:color w:val="000000"/>
          <w:kern w:val="0"/>
          <w:lang w:val="en-US"/>
          <w14:ligatures w14:val="none"/>
        </w:rPr>
      </w:pPr>
    </w:p>
    <w:p w14:paraId="220DC258"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The Council may consider a Banning Order for the more serious offenders. It will </w:t>
      </w:r>
      <w:proofErr w:type="gramStart"/>
      <w:r w:rsidRPr="0048506E">
        <w:rPr>
          <w:rFonts w:ascii="Aptos" w:eastAsia="Calibri" w:hAnsi="Aptos" w:cs="Times New Roman"/>
          <w:color w:val="000000"/>
          <w:kern w:val="0"/>
          <w:lang w:val="en-US"/>
          <w14:ligatures w14:val="none"/>
        </w:rPr>
        <w:t>take into account</w:t>
      </w:r>
      <w:proofErr w:type="gramEnd"/>
      <w:r w:rsidRPr="0048506E">
        <w:rPr>
          <w:rFonts w:ascii="Aptos" w:eastAsia="Calibri" w:hAnsi="Aptos" w:cs="Times New Roman"/>
          <w:color w:val="000000"/>
          <w:kern w:val="0"/>
          <w:lang w:val="en-US"/>
          <w14:ligatures w14:val="none"/>
        </w:rPr>
        <w:t xml:space="preserve"> the seriousness of the offence(s), whether the landlord has committed other offences (or received any Civil Penalty in relation to a Banning Order offence) and any history of failing to comply with their obligations or legal responsibilities. It will also </w:t>
      </w:r>
      <w:proofErr w:type="gramStart"/>
      <w:r w:rsidRPr="0048506E">
        <w:rPr>
          <w:rFonts w:ascii="Aptos" w:eastAsia="Calibri" w:hAnsi="Aptos" w:cs="Times New Roman"/>
          <w:color w:val="000000"/>
          <w:kern w:val="0"/>
          <w:lang w:val="en-US"/>
          <w14:ligatures w14:val="none"/>
        </w:rPr>
        <w:t>take into account</w:t>
      </w:r>
      <w:proofErr w:type="gramEnd"/>
      <w:r w:rsidRPr="0048506E">
        <w:rPr>
          <w:rFonts w:ascii="Aptos" w:eastAsia="Calibri" w:hAnsi="Aptos" w:cs="Times New Roman"/>
          <w:color w:val="000000"/>
          <w:kern w:val="0"/>
          <w:lang w:val="en-US"/>
          <w14:ligatures w14:val="none"/>
        </w:rPr>
        <w:t xml:space="preserve"> other relevant factors, including but not limited to: </w:t>
      </w:r>
    </w:p>
    <w:p w14:paraId="04E575F3" w14:textId="77777777" w:rsidR="0048506E" w:rsidRPr="0048506E" w:rsidRDefault="0048506E" w:rsidP="0048506E">
      <w:pPr>
        <w:numPr>
          <w:ilvl w:val="0"/>
          <w:numId w:val="2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The harm, or potential harm, caused to the tenant; </w:t>
      </w:r>
    </w:p>
    <w:p w14:paraId="71EAA5CB" w14:textId="77777777" w:rsidR="0048506E" w:rsidRPr="0048506E" w:rsidRDefault="0048506E" w:rsidP="0048506E">
      <w:pPr>
        <w:numPr>
          <w:ilvl w:val="0"/>
          <w:numId w:val="2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The need to punish the offender;  </w:t>
      </w:r>
    </w:p>
    <w:p w14:paraId="51E757A1" w14:textId="77777777" w:rsidR="0048506E" w:rsidRPr="0048506E" w:rsidRDefault="0048506E" w:rsidP="0048506E">
      <w:pPr>
        <w:numPr>
          <w:ilvl w:val="0"/>
          <w:numId w:val="22"/>
        </w:numPr>
        <w:spacing w:line="278" w:lineRule="auto"/>
        <w:contextualSpacing/>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The need to deter the offender from repeating the offence; </w:t>
      </w:r>
    </w:p>
    <w:p w14:paraId="33199122" w14:textId="77777777" w:rsidR="0048506E" w:rsidRDefault="0048506E" w:rsidP="0048506E">
      <w:pPr>
        <w:numPr>
          <w:ilvl w:val="0"/>
          <w:numId w:val="22"/>
        </w:numPr>
        <w:spacing w:line="278" w:lineRule="auto"/>
        <w:contextualSpacing/>
        <w:rPr>
          <w:rFonts w:ascii="Aptos" w:eastAsia="Calibri" w:hAnsi="Aptos" w:cs="Times New Roman"/>
          <w:color w:val="000000"/>
          <w:kern w:val="0"/>
          <w:lang w:val="en-US"/>
          <w14:ligatures w14:val="none"/>
        </w:rPr>
      </w:pPr>
      <w:proofErr w:type="gramStart"/>
      <w:r w:rsidRPr="0048506E">
        <w:rPr>
          <w:rFonts w:ascii="Aptos" w:eastAsia="Calibri" w:hAnsi="Aptos" w:cs="Times New Roman"/>
          <w:color w:val="000000"/>
          <w:kern w:val="0"/>
          <w:lang w:val="en-US"/>
          <w14:ligatures w14:val="none"/>
        </w:rPr>
        <w:lastRenderedPageBreak/>
        <w:t>The</w:t>
      </w:r>
      <w:proofErr w:type="gramEnd"/>
      <w:r w:rsidRPr="0048506E">
        <w:rPr>
          <w:rFonts w:ascii="Aptos" w:eastAsia="Calibri" w:hAnsi="Aptos" w:cs="Times New Roman"/>
          <w:color w:val="000000"/>
          <w:kern w:val="0"/>
          <w:lang w:val="en-US"/>
          <w14:ligatures w14:val="none"/>
        </w:rPr>
        <w:t xml:space="preserve"> need to deter others from committing similar offences.</w:t>
      </w:r>
    </w:p>
    <w:p w14:paraId="458A542E" w14:textId="77777777" w:rsidR="0048506E" w:rsidRPr="0048506E" w:rsidRDefault="0048506E" w:rsidP="0048506E">
      <w:pPr>
        <w:spacing w:line="278" w:lineRule="auto"/>
        <w:ind w:left="1080"/>
        <w:contextualSpacing/>
        <w:rPr>
          <w:rFonts w:ascii="Aptos" w:eastAsia="Calibri" w:hAnsi="Aptos" w:cs="Times New Roman"/>
          <w:color w:val="000000"/>
          <w:kern w:val="0"/>
          <w:lang w:val="en-US"/>
          <w14:ligatures w14:val="none"/>
        </w:rPr>
      </w:pPr>
    </w:p>
    <w:p w14:paraId="76E1906D" w14:textId="77777777" w:rsidR="0048506E" w:rsidRPr="0048506E" w:rsidRDefault="0048506E" w:rsidP="0048506E">
      <w:pPr>
        <w:widowControl w:val="0"/>
        <w:numPr>
          <w:ilvl w:val="0"/>
          <w:numId w:val="17"/>
        </w:numPr>
        <w:tabs>
          <w:tab w:val="left" w:pos="851"/>
        </w:tabs>
        <w:autoSpaceDE w:val="0"/>
        <w:autoSpaceDN w:val="0"/>
        <w:spacing w:after="0" w:line="240" w:lineRule="auto"/>
        <w:ind w:right="-176"/>
        <w:outlineLvl w:val="0"/>
        <w:rPr>
          <w:rFonts w:ascii="Aptos" w:eastAsia="Calibri" w:hAnsi="Aptos" w:cs="Times New Roman"/>
          <w:color w:val="004254"/>
          <w:kern w:val="0"/>
          <w:sz w:val="36"/>
          <w:szCs w:val="36"/>
          <w14:ligatures w14:val="none"/>
        </w:rPr>
      </w:pPr>
      <w:r w:rsidRPr="0048506E">
        <w:rPr>
          <w:rFonts w:ascii="Aptos" w:eastAsia="Calibri" w:hAnsi="Aptos" w:cs="Times New Roman"/>
          <w:color w:val="004254"/>
          <w:kern w:val="0"/>
          <w:sz w:val="36"/>
          <w:szCs w:val="36"/>
          <w14:ligatures w14:val="none"/>
        </w:rPr>
        <w:t>Complaints</w:t>
      </w:r>
    </w:p>
    <w:p w14:paraId="466EA5F3" w14:textId="77777777" w:rsidR="0048506E" w:rsidRPr="0048506E" w:rsidRDefault="0048506E" w:rsidP="0048506E">
      <w:pPr>
        <w:numPr>
          <w:ilvl w:val="1"/>
          <w:numId w:val="17"/>
        </w:numPr>
        <w:spacing w:before="120" w:after="120"/>
        <w:rPr>
          <w:rFonts w:ascii="Aptos" w:eastAsia="Calibri" w:hAnsi="Aptos" w:cs="Times New Roman"/>
          <w:kern w:val="0"/>
          <w:lang w:val="en-US"/>
          <w14:ligatures w14:val="none"/>
        </w:rPr>
      </w:pPr>
      <w:r w:rsidRPr="0048506E">
        <w:rPr>
          <w:rFonts w:ascii="Aptos" w:eastAsia="Calibri" w:hAnsi="Aptos" w:cs="Times New Roman"/>
          <w:color w:val="000000"/>
          <w:kern w:val="0"/>
          <w:lang w:val="en-US"/>
          <w14:ligatures w14:val="none"/>
        </w:rPr>
        <w:t>Contact</w:t>
      </w:r>
      <w:r w:rsidRPr="0048506E">
        <w:rPr>
          <w:rFonts w:ascii="Aptos" w:eastAsia="Calibri" w:hAnsi="Aptos" w:cs="Times New Roman"/>
          <w:kern w:val="0"/>
          <w:lang w:val="en-US"/>
          <w14:ligatures w14:val="none"/>
        </w:rPr>
        <w:t xml:space="preserve"> may be made with the Council about any matters listed here by email at </w:t>
      </w:r>
      <w:hyperlink r:id="rId8" w:history="1">
        <w:r w:rsidRPr="0048506E">
          <w:rPr>
            <w:rFonts w:ascii="Aptos" w:eastAsia="Calibri" w:hAnsi="Aptos" w:cs="Times New Roman"/>
            <w:color w:val="0563C1"/>
            <w:kern w:val="0"/>
            <w:u w:val="single"/>
            <w:lang w:val="en-US"/>
            <w14:ligatures w14:val="none"/>
          </w:rPr>
          <w:t>ehhousing@lichfielddc.gov.uk</w:t>
        </w:r>
      </w:hyperlink>
      <w:r w:rsidRPr="0048506E">
        <w:rPr>
          <w:rFonts w:ascii="Aptos" w:eastAsia="Calibri" w:hAnsi="Aptos" w:cs="Times New Roman"/>
          <w:kern w:val="0"/>
          <w:lang w:val="en-US"/>
          <w14:ligatures w14:val="none"/>
        </w:rPr>
        <w:t xml:space="preserve">  or by post at:</w:t>
      </w:r>
    </w:p>
    <w:p w14:paraId="1DE13AF7"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Lichfield District Council, District Council House, Frog Lane, Lichfield, Staffs. WS13 6YY</w:t>
      </w:r>
    </w:p>
    <w:p w14:paraId="649FC77B"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A service user can still make a complaint in cases where the Council has instigated legal proceedings. However, making a complaint will not stop any impending legal action. </w:t>
      </w:r>
    </w:p>
    <w:p w14:paraId="60B4AAE6"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Where statutory notices have been served, making a complaint does not replace the statutory rights of appeal or the right to make representations. It also does not allow extra time to comply with any notice or order.  </w:t>
      </w:r>
    </w:p>
    <w:p w14:paraId="0E0D2501" w14:textId="77777777" w:rsidR="0048506E" w:rsidRPr="0048506E" w:rsidRDefault="0048506E" w:rsidP="0048506E">
      <w:pPr>
        <w:numPr>
          <w:ilvl w:val="1"/>
          <w:numId w:val="17"/>
        </w:numPr>
        <w:spacing w:before="120" w:after="120"/>
        <w:rPr>
          <w:rFonts w:ascii="Aptos" w:eastAsia="Calibri" w:hAnsi="Aptos" w:cs="Times New Roman"/>
          <w:color w:val="000000"/>
          <w:kern w:val="0"/>
          <w:lang w:val="en-US"/>
          <w14:ligatures w14:val="none"/>
        </w:rPr>
      </w:pPr>
      <w:r w:rsidRPr="0048506E">
        <w:rPr>
          <w:rFonts w:ascii="Aptos" w:eastAsia="Calibri" w:hAnsi="Aptos" w:cs="Times New Roman"/>
          <w:color w:val="000000"/>
          <w:kern w:val="0"/>
          <w:lang w:val="en-US"/>
          <w14:ligatures w14:val="none"/>
        </w:rPr>
        <w:t xml:space="preserve">If a service user disagrees with a statutory notice, they should </w:t>
      </w:r>
      <w:proofErr w:type="gramStart"/>
      <w:r w:rsidRPr="0048506E">
        <w:rPr>
          <w:rFonts w:ascii="Aptos" w:eastAsia="Calibri" w:hAnsi="Aptos" w:cs="Times New Roman"/>
          <w:color w:val="000000"/>
          <w:kern w:val="0"/>
          <w:lang w:val="en-US"/>
          <w14:ligatures w14:val="none"/>
        </w:rPr>
        <w:t>take action</w:t>
      </w:r>
      <w:proofErr w:type="gramEnd"/>
      <w:r w:rsidRPr="0048506E">
        <w:rPr>
          <w:rFonts w:ascii="Aptos" w:eastAsia="Calibri" w:hAnsi="Aptos" w:cs="Times New Roman"/>
          <w:color w:val="000000"/>
          <w:kern w:val="0"/>
          <w:lang w:val="en-US"/>
          <w14:ligatures w14:val="none"/>
        </w:rPr>
        <w:t xml:space="preserve"> as specified in the notice or order to make an appeal, if any </w:t>
      </w:r>
      <w:proofErr w:type="gramStart"/>
      <w:r w:rsidRPr="0048506E">
        <w:rPr>
          <w:rFonts w:ascii="Aptos" w:eastAsia="Calibri" w:hAnsi="Aptos" w:cs="Times New Roman"/>
          <w:color w:val="000000"/>
          <w:kern w:val="0"/>
          <w:lang w:val="en-US"/>
          <w14:ligatures w14:val="none"/>
        </w:rPr>
        <w:t>exists</w:t>
      </w:r>
      <w:proofErr w:type="gramEnd"/>
      <w:r w:rsidRPr="0048506E">
        <w:rPr>
          <w:rFonts w:ascii="Aptos" w:eastAsia="Calibri" w:hAnsi="Aptos" w:cs="Times New Roman"/>
          <w:color w:val="000000"/>
          <w:kern w:val="0"/>
          <w:lang w:val="en-US"/>
          <w14:ligatures w14:val="none"/>
        </w:rPr>
        <w:t>. Reference should be made to any notes that may accompany the notice or order for more detail.</w:t>
      </w:r>
    </w:p>
    <w:p w14:paraId="29515CF9" w14:textId="77777777" w:rsidR="0048506E" w:rsidRPr="0048506E" w:rsidRDefault="0048506E" w:rsidP="0048506E">
      <w:pPr>
        <w:rPr>
          <w:rFonts w:ascii="Aptos" w:eastAsia="Arial" w:hAnsi="Aptos" w:cs="Arial"/>
          <w:b/>
          <w:bCs/>
          <w:color w:val="004254"/>
          <w:kern w:val="0"/>
          <w:lang w:val="en-US"/>
          <w14:ligatures w14:val="none"/>
        </w:rPr>
      </w:pPr>
      <w:r w:rsidRPr="0048506E">
        <w:rPr>
          <w:rFonts w:ascii="Aptos" w:eastAsia="Calibri" w:hAnsi="Aptos" w:cs="Times New Roman"/>
          <w:color w:val="004254"/>
          <w:kern w:val="0"/>
          <w14:ligatures w14:val="none"/>
        </w:rPr>
        <w:br w:type="page"/>
      </w:r>
    </w:p>
    <w:p w14:paraId="31688C7B" w14:textId="77777777" w:rsidR="0048506E" w:rsidRPr="0048506E" w:rsidRDefault="0048506E" w:rsidP="0048506E">
      <w:pPr>
        <w:widowControl w:val="0"/>
        <w:autoSpaceDE w:val="0"/>
        <w:autoSpaceDN w:val="0"/>
        <w:spacing w:after="0" w:line="240" w:lineRule="auto"/>
        <w:ind w:firstLine="11"/>
        <w:outlineLvl w:val="0"/>
        <w:rPr>
          <w:rFonts w:ascii="Aptos" w:eastAsia="Arial" w:hAnsi="Aptos" w:cs="Arial"/>
          <w:color w:val="004254"/>
          <w:kern w:val="0"/>
          <w:lang w:val="en-US"/>
          <w14:ligatures w14:val="none"/>
        </w:rPr>
      </w:pPr>
      <w:r w:rsidRPr="0048506E">
        <w:rPr>
          <w:rFonts w:ascii="Aptos" w:eastAsia="Arial" w:hAnsi="Aptos" w:cs="Arial"/>
          <w:b/>
          <w:bCs/>
          <w:color w:val="004254"/>
          <w:kern w:val="0"/>
          <w:lang w:val="en-US"/>
          <w14:ligatures w14:val="none"/>
        </w:rPr>
        <w:lastRenderedPageBreak/>
        <w:t>Appendix 1 – Statement of principles to determine the amount of a penalty charge under Part 4 of The Smoke and Carbon Monoxide Alarm (England) Regulations 2015 as amended by The Smoke and Carbon Monoxide Alarm (Amendment) Regulations 2022 (“the Regulations”)</w:t>
      </w:r>
    </w:p>
    <w:p w14:paraId="12E2243A" w14:textId="77777777" w:rsidR="0048506E" w:rsidRPr="0048506E" w:rsidRDefault="0048506E" w:rsidP="0048506E">
      <w:pPr>
        <w:rPr>
          <w:rFonts w:ascii="Aptos" w:eastAsia="Calibri" w:hAnsi="Aptos" w:cs="Times New Roman"/>
          <w:kern w:val="0"/>
          <w:lang w:val="en-US"/>
          <w14:ligatures w14:val="none"/>
        </w:rPr>
      </w:pPr>
    </w:p>
    <w:p w14:paraId="08947ADF" w14:textId="77777777" w:rsidR="0048506E" w:rsidRPr="0048506E" w:rsidRDefault="0048506E" w:rsidP="0048506E">
      <w:p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Section 13 of the Regulations requires local housing authorities to prepare and publish a statement of principles which they propose to follow in determining the amount of a penalty charge.</w:t>
      </w:r>
    </w:p>
    <w:p w14:paraId="433A8086" w14:textId="77777777" w:rsidR="0048506E" w:rsidRPr="0048506E" w:rsidRDefault="0048506E" w:rsidP="0048506E">
      <w:p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The Regulations introduced legal requirements on relevant landlords to:</w:t>
      </w:r>
    </w:p>
    <w:p w14:paraId="36616168" w14:textId="77777777" w:rsidR="0048506E" w:rsidRPr="0048506E" w:rsidRDefault="0048506E" w:rsidP="0048506E">
      <w:pPr>
        <w:numPr>
          <w:ilvl w:val="0"/>
          <w:numId w:val="13"/>
        </w:num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Equip a smoke alarm on each storey of the premises on which there is a room used wholly or partly as living accommodation.</w:t>
      </w:r>
    </w:p>
    <w:p w14:paraId="50E2AC9F" w14:textId="77777777" w:rsidR="0048506E" w:rsidRPr="0048506E" w:rsidRDefault="0048506E" w:rsidP="0048506E">
      <w:pPr>
        <w:numPr>
          <w:ilvl w:val="0"/>
          <w:numId w:val="13"/>
        </w:num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During any period when the premises were occupied under the tenancy, to ensure that a carbon monoxide alarm is equipped in any room of the premises which is used wholly or partly as living accommodation and which contains fixed combustion appliance other than a gas cooker.</w:t>
      </w:r>
    </w:p>
    <w:p w14:paraId="23052170" w14:textId="77777777" w:rsidR="0048506E" w:rsidRPr="0048506E" w:rsidRDefault="0048506E" w:rsidP="0048506E">
      <w:pPr>
        <w:numPr>
          <w:ilvl w:val="0"/>
          <w:numId w:val="13"/>
        </w:num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Carry out checks by or on behalf of the landlord to ensure that each prescribed alarm is in proper working order on the day the tenancy begins if it is a new tenancy.</w:t>
      </w:r>
    </w:p>
    <w:p w14:paraId="16E078B7" w14:textId="77777777" w:rsidR="0048506E" w:rsidRPr="0048506E" w:rsidRDefault="0048506E" w:rsidP="0048506E">
      <w:pPr>
        <w:numPr>
          <w:ilvl w:val="0"/>
          <w:numId w:val="13"/>
        </w:num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Where, following a report made on or after 1st October 2022 by a tenant or by their nominated representative to the landlord, a prescribed alarm is found not to be in proper working order, the alarm is repaired or replaced.</w:t>
      </w:r>
    </w:p>
    <w:p w14:paraId="3C83D2B5" w14:textId="77777777" w:rsidR="0048506E" w:rsidRPr="0048506E" w:rsidRDefault="0048506E" w:rsidP="0048506E">
      <w:p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For the purposes of the legislation, living accommodation includes a bathroom or lavatory.</w:t>
      </w:r>
    </w:p>
    <w:p w14:paraId="28373582" w14:textId="77777777" w:rsidR="0048506E" w:rsidRPr="0048506E" w:rsidRDefault="0048506E" w:rsidP="0048506E">
      <w:p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Where the Council believe that a landlord is in breach of one or more of the above duties, the Council must serve a remedial notice on the landlord. The remedial notice is a notice served under Regulation 5 of the Regulations.</w:t>
      </w:r>
    </w:p>
    <w:p w14:paraId="690C8834" w14:textId="77777777" w:rsidR="0048506E" w:rsidRPr="0048506E" w:rsidRDefault="0048506E" w:rsidP="0048506E">
      <w:p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If the landlord then fails to take the remedial action specified in the notice within the specified timescale, the Council can require a landlord to pay a penalty charge and can arrange for remedial action to be taken under certain circumstances. The power to charge a penalty arises from Regulation 8 of the Regulations. Failure to comply with each remedial notice can lead to a fine of up to £5,000. Fines will be applied per breach, rather than per landlord or property.</w:t>
      </w:r>
    </w:p>
    <w:p w14:paraId="20D213C6" w14:textId="77777777" w:rsidR="0048506E" w:rsidRPr="0048506E" w:rsidRDefault="0048506E" w:rsidP="0048506E">
      <w:p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 xml:space="preserve">The Council </w:t>
      </w:r>
      <w:r w:rsidRPr="0048506E">
        <w:rPr>
          <w:rFonts w:ascii="Aptos" w:eastAsia="Calibri" w:hAnsi="Aptos" w:cs="Times New Roman"/>
          <w:kern w:val="0"/>
          <w:u w:val="single"/>
          <w14:ligatures w14:val="none"/>
        </w:rPr>
        <w:t>will</w:t>
      </w:r>
      <w:r w:rsidRPr="0048506E">
        <w:rPr>
          <w:rFonts w:ascii="Aptos" w:eastAsia="Calibri" w:hAnsi="Aptos" w:cs="Times New Roman"/>
          <w:kern w:val="0"/>
          <w14:ligatures w14:val="none"/>
        </w:rPr>
        <w:t xml:space="preserve"> impose a penalty charge where it is satisfied, on the balance of probabilities, that the landlord has not complied with the action specified in the remedial notice within the required timescale.</w:t>
      </w:r>
    </w:p>
    <w:p w14:paraId="364D6773" w14:textId="77777777" w:rsidR="0048506E" w:rsidRPr="0048506E" w:rsidRDefault="0048506E" w:rsidP="0048506E">
      <w:pPr>
        <w:spacing w:after="120" w:line="257" w:lineRule="auto"/>
        <w:rPr>
          <w:rFonts w:ascii="Aptos" w:eastAsia="Calibri" w:hAnsi="Aptos" w:cs="Times New Roman"/>
          <w:kern w:val="0"/>
          <w14:ligatures w14:val="none"/>
        </w:rPr>
      </w:pPr>
      <w:r w:rsidRPr="0048506E">
        <w:rPr>
          <w:rFonts w:ascii="Aptos" w:eastAsia="Calibri" w:hAnsi="Aptos" w:cs="Times New Roman"/>
          <w:kern w:val="0"/>
          <w14:ligatures w14:val="none"/>
        </w:rPr>
        <w:t xml:space="preserve">A landlord will not </w:t>
      </w:r>
      <w:proofErr w:type="gramStart"/>
      <w:r w:rsidRPr="0048506E">
        <w:rPr>
          <w:rFonts w:ascii="Aptos" w:eastAsia="Calibri" w:hAnsi="Aptos" w:cs="Times New Roman"/>
          <w:kern w:val="0"/>
          <w14:ligatures w14:val="none"/>
        </w:rPr>
        <w:t>be considered to be</w:t>
      </w:r>
      <w:proofErr w:type="gramEnd"/>
      <w:r w:rsidRPr="0048506E">
        <w:rPr>
          <w:rFonts w:ascii="Aptos" w:eastAsia="Calibri" w:hAnsi="Aptos" w:cs="Times New Roman"/>
          <w:kern w:val="0"/>
          <w14:ligatures w14:val="none"/>
        </w:rPr>
        <w:t xml:space="preserve"> in breach of their duty to comply with the remedial notice if they can demonstrate they have taken all reasonable steps to comply. Where there is evidence, including written correspondence, of repeated and consistent efforts to obtain access to the property, with access repeatedly being prevented by the occupant(s) of the property, a landlord will not </w:t>
      </w:r>
      <w:proofErr w:type="gramStart"/>
      <w:r w:rsidRPr="0048506E">
        <w:rPr>
          <w:rFonts w:ascii="Aptos" w:eastAsia="Calibri" w:hAnsi="Aptos" w:cs="Times New Roman"/>
          <w:kern w:val="0"/>
          <w14:ligatures w14:val="none"/>
        </w:rPr>
        <w:t>be considered to be</w:t>
      </w:r>
      <w:proofErr w:type="gramEnd"/>
      <w:r w:rsidRPr="0048506E">
        <w:rPr>
          <w:rFonts w:ascii="Aptos" w:eastAsia="Calibri" w:hAnsi="Aptos" w:cs="Times New Roman"/>
          <w:kern w:val="0"/>
          <w14:ligatures w14:val="none"/>
        </w:rPr>
        <w:t xml:space="preserve"> in breach of their duty to comply with the remedial notice. A landlord will be expected to have:</w:t>
      </w:r>
    </w:p>
    <w:p w14:paraId="52867C6B" w14:textId="77777777" w:rsidR="0048506E" w:rsidRPr="0048506E" w:rsidRDefault="0048506E" w:rsidP="0048506E">
      <w:pPr>
        <w:numPr>
          <w:ilvl w:val="0"/>
          <w:numId w:val="14"/>
        </w:numPr>
        <w:spacing w:after="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Communicated the risk of harm that the lack of functioning alarms posed to all occupants in writing on multiple occasions</w:t>
      </w:r>
    </w:p>
    <w:p w14:paraId="0C600651" w14:textId="77777777" w:rsidR="0048506E" w:rsidRPr="0048506E" w:rsidRDefault="0048506E" w:rsidP="0048506E">
      <w:pPr>
        <w:numPr>
          <w:ilvl w:val="0"/>
          <w:numId w:val="14"/>
        </w:numPr>
        <w:spacing w:after="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Requested access to comply with the remedial notice on a regular basis of no longer than every seven days in writing</w:t>
      </w:r>
    </w:p>
    <w:p w14:paraId="5ADF050D" w14:textId="77777777" w:rsidR="0048506E" w:rsidRPr="0048506E" w:rsidRDefault="0048506E" w:rsidP="0048506E">
      <w:p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lastRenderedPageBreak/>
        <w:t>In considering the imposition of a penalty, the Council may look at the evidence concerning the breach of the requirement of the notice. A non-exhaustive list of methods that may be used to obtain relevant evidence includes, but is not limited to:</w:t>
      </w:r>
    </w:p>
    <w:p w14:paraId="38D1A355" w14:textId="77777777" w:rsidR="0048506E" w:rsidRPr="0048506E" w:rsidRDefault="0048506E" w:rsidP="0048506E">
      <w:pPr>
        <w:numPr>
          <w:ilvl w:val="0"/>
          <w:numId w:val="23"/>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Evidence obtained from a property inspection</w:t>
      </w:r>
    </w:p>
    <w:p w14:paraId="5D73C506" w14:textId="77777777" w:rsidR="0048506E" w:rsidRPr="0048506E" w:rsidRDefault="0048506E" w:rsidP="0048506E">
      <w:pPr>
        <w:numPr>
          <w:ilvl w:val="0"/>
          <w:numId w:val="23"/>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Evidence provided by the tenant or agent</w:t>
      </w:r>
    </w:p>
    <w:p w14:paraId="3D5A6C85" w14:textId="77777777" w:rsidR="0048506E" w:rsidRPr="0048506E" w:rsidRDefault="0048506E" w:rsidP="0048506E">
      <w:pPr>
        <w:numPr>
          <w:ilvl w:val="0"/>
          <w:numId w:val="23"/>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Evidence provided by the landlord demonstrating compliance with the Regulations by supplying dated photographs of alarms, together with installation records</w:t>
      </w:r>
    </w:p>
    <w:p w14:paraId="5101EF06" w14:textId="77777777" w:rsidR="0048506E" w:rsidRPr="0048506E" w:rsidRDefault="0048506E" w:rsidP="0048506E">
      <w:pPr>
        <w:numPr>
          <w:ilvl w:val="0"/>
          <w:numId w:val="23"/>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That all detector heads have not passed their expiration or replacement date</w:t>
      </w:r>
    </w:p>
    <w:p w14:paraId="523BA8AC" w14:textId="77777777" w:rsidR="0048506E" w:rsidRPr="0048506E" w:rsidRDefault="0048506E" w:rsidP="0048506E">
      <w:p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t>Landlords need to take steps to demonstrate that they have met the testing requirements at the start of the tenancy requirements. A non-exhaustive list of methods that may be used to evidence compliance with these testing requirements includes, but is not limited to:</w:t>
      </w:r>
    </w:p>
    <w:p w14:paraId="55C2B31D" w14:textId="77777777" w:rsidR="0048506E" w:rsidRPr="0048506E" w:rsidRDefault="0048506E" w:rsidP="0048506E">
      <w:pPr>
        <w:numPr>
          <w:ilvl w:val="0"/>
          <w:numId w:val="15"/>
        </w:num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t>Tenants signing an inventory form which states that they observed the alarms being tested and confirming that the alarms were in working order at the start of the tenancy</w:t>
      </w:r>
    </w:p>
    <w:p w14:paraId="295E3734" w14:textId="77777777" w:rsidR="0048506E" w:rsidRPr="0048506E" w:rsidRDefault="0048506E" w:rsidP="0048506E">
      <w:p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t>Where a landlord is in breach, the local housing authority may serve a remedial notice. Failure to comply with each remedial notice can lead to a fine of up to £5,000. Fines will be applied per breach, rather than per landlord or property</w:t>
      </w:r>
    </w:p>
    <w:p w14:paraId="1E788D4D" w14:textId="77777777" w:rsidR="0048506E" w:rsidRPr="0048506E" w:rsidRDefault="0048506E" w:rsidP="0048506E">
      <w:p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t>When determining the amount of the penalty charge, regard will be had to whether this is a first breach under the Regulations.</w:t>
      </w:r>
    </w:p>
    <w:p w14:paraId="11D17A6C" w14:textId="77777777" w:rsidR="0048506E" w:rsidRPr="0048506E" w:rsidRDefault="0048506E" w:rsidP="0048506E">
      <w:pPr>
        <w:spacing w:after="120"/>
        <w:rPr>
          <w:rFonts w:ascii="Aptos" w:eastAsia="Calibri" w:hAnsi="Aptos" w:cs="Times New Roman"/>
          <w:b/>
          <w:bCs/>
          <w:kern w:val="0"/>
          <w14:ligatures w14:val="none"/>
        </w:rPr>
      </w:pPr>
      <w:r w:rsidRPr="0048506E">
        <w:rPr>
          <w:rFonts w:ascii="Aptos" w:eastAsia="Calibri" w:hAnsi="Aptos" w:cs="Times New Roman"/>
          <w:b/>
          <w:bCs/>
          <w:kern w:val="0"/>
          <w14:ligatures w14:val="none"/>
        </w:rPr>
        <w:t>Determining the amount of the penalty charge for a first breach</w:t>
      </w:r>
    </w:p>
    <w:p w14:paraId="2C524499" w14:textId="77777777" w:rsidR="0048506E" w:rsidRPr="0048506E" w:rsidRDefault="0048506E" w:rsidP="0048506E">
      <w:p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t>The minimum amount of a penalty charge for a first breach of the Regulations will be £2500.</w:t>
      </w:r>
    </w:p>
    <w:p w14:paraId="6B1E605F" w14:textId="77777777" w:rsidR="0048506E" w:rsidRPr="0048506E" w:rsidRDefault="0048506E" w:rsidP="0048506E">
      <w:p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t>The starting level of a penalty charge for a first breach of the Regulations will be £3000. The penalty charge amount will then be varied depending on aggravating and mitigating factors.</w:t>
      </w:r>
    </w:p>
    <w:p w14:paraId="0763FE99" w14:textId="77777777" w:rsidR="0048506E" w:rsidRPr="0048506E" w:rsidRDefault="0048506E" w:rsidP="0048506E">
      <w:p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t xml:space="preserve">Aggravating </w:t>
      </w:r>
      <w:proofErr w:type="gramStart"/>
      <w:r w:rsidRPr="0048506E">
        <w:rPr>
          <w:rFonts w:ascii="Aptos" w:eastAsia="Calibri" w:hAnsi="Aptos" w:cs="Times New Roman"/>
          <w:kern w:val="0"/>
          <w14:ligatures w14:val="none"/>
        </w:rPr>
        <w:t>factor</w:t>
      </w:r>
      <w:proofErr w:type="gramEnd"/>
      <w:r w:rsidRPr="0048506E">
        <w:rPr>
          <w:rFonts w:ascii="Aptos" w:eastAsia="Calibri" w:hAnsi="Aptos" w:cs="Times New Roman"/>
          <w:kern w:val="0"/>
          <w14:ligatures w14:val="none"/>
        </w:rPr>
        <w:t xml:space="preserve"> include, but are not limited to:</w:t>
      </w:r>
    </w:p>
    <w:p w14:paraId="222ADE38"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The number of alarms not working or missing (the Regulations state there should be one per storey)</w:t>
      </w:r>
    </w:p>
    <w:p w14:paraId="619BCB61"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 xml:space="preserve">Other fire safety concerns/defects in the property which increase the risk posed to the occupants </w:t>
      </w:r>
    </w:p>
    <w:p w14:paraId="30D63B8E"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The length of time the offence is believed to have been on-going</w:t>
      </w:r>
    </w:p>
    <w:p w14:paraId="25B77EF8"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The frequency of complaints by the occupiers to the landlord about the non-working or missing alarms</w:t>
      </w:r>
    </w:p>
    <w:p w14:paraId="0B8EB568"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The costs of any remedial work the Council have carried out in response to the breach</w:t>
      </w:r>
    </w:p>
    <w:p w14:paraId="7CD20AEE"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 xml:space="preserve">Whether the property is let as </w:t>
      </w:r>
      <w:proofErr w:type="gramStart"/>
      <w:r w:rsidRPr="0048506E">
        <w:rPr>
          <w:rFonts w:ascii="Aptos" w:eastAsia="Calibri" w:hAnsi="Aptos" w:cs="Times New Roman"/>
          <w:kern w:val="0"/>
          <w14:ligatures w14:val="none"/>
        </w:rPr>
        <w:t>a</w:t>
      </w:r>
      <w:proofErr w:type="gramEnd"/>
      <w:r w:rsidRPr="0048506E">
        <w:rPr>
          <w:rFonts w:ascii="Aptos" w:eastAsia="Calibri" w:hAnsi="Aptos" w:cs="Times New Roman"/>
          <w:kern w:val="0"/>
          <w14:ligatures w14:val="none"/>
        </w:rPr>
        <w:t xml:space="preserve"> HMO (which increases the overall risk)</w:t>
      </w:r>
    </w:p>
    <w:p w14:paraId="20FA367D"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The number of occupants living in the property</w:t>
      </w:r>
    </w:p>
    <w:p w14:paraId="3A090DC9"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Presence of vulnerable occupiers such as elderly, children or disabled people</w:t>
      </w:r>
    </w:p>
    <w:p w14:paraId="0862B097"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Any history of previous enforcement or non-compliance of the landlord</w:t>
      </w:r>
    </w:p>
    <w:p w14:paraId="4D1D38CB" w14:textId="77777777" w:rsidR="0048506E" w:rsidRPr="0048506E" w:rsidRDefault="0048506E" w:rsidP="0048506E">
      <w:pPr>
        <w:numPr>
          <w:ilvl w:val="0"/>
          <w:numId w:val="15"/>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Attempts to obstruct the investigation</w:t>
      </w:r>
    </w:p>
    <w:p w14:paraId="75189677" w14:textId="77777777" w:rsidR="0048506E" w:rsidRPr="0048506E" w:rsidRDefault="0048506E" w:rsidP="0048506E">
      <w:p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t>Mitigating factors include, but are not limited to:</w:t>
      </w:r>
    </w:p>
    <w:p w14:paraId="4B514173" w14:textId="77777777" w:rsidR="0048506E" w:rsidRPr="0048506E" w:rsidRDefault="0048506E" w:rsidP="0048506E">
      <w:pPr>
        <w:numPr>
          <w:ilvl w:val="0"/>
          <w:numId w:val="24"/>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 xml:space="preserve">The property being small and low-risk (for example a one-bedroom ground floor flat with </w:t>
      </w:r>
      <w:proofErr w:type="gramStart"/>
      <w:r w:rsidRPr="0048506E">
        <w:rPr>
          <w:rFonts w:ascii="Aptos" w:eastAsia="Calibri" w:hAnsi="Aptos" w:cs="Times New Roman"/>
          <w:kern w:val="0"/>
          <w14:ligatures w14:val="none"/>
        </w:rPr>
        <w:t>a large number of</w:t>
      </w:r>
      <w:proofErr w:type="gramEnd"/>
      <w:r w:rsidRPr="0048506E">
        <w:rPr>
          <w:rFonts w:ascii="Aptos" w:eastAsia="Calibri" w:hAnsi="Aptos" w:cs="Times New Roman"/>
          <w:kern w:val="0"/>
          <w14:ligatures w14:val="none"/>
        </w:rPr>
        <w:t xml:space="preserve"> fire escapes including large windows)</w:t>
      </w:r>
    </w:p>
    <w:p w14:paraId="0748BA1D" w14:textId="77777777" w:rsidR="0048506E" w:rsidRPr="0048506E" w:rsidRDefault="0048506E" w:rsidP="0048506E">
      <w:pPr>
        <w:numPr>
          <w:ilvl w:val="0"/>
          <w:numId w:val="24"/>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A single occupant living in the property</w:t>
      </w:r>
    </w:p>
    <w:p w14:paraId="0C189C24" w14:textId="77777777" w:rsidR="0048506E" w:rsidRPr="0048506E" w:rsidRDefault="0048506E" w:rsidP="0048506E">
      <w:pPr>
        <w:numPr>
          <w:ilvl w:val="0"/>
          <w:numId w:val="24"/>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 xml:space="preserve">Evidence that all required alarms were checked and in working order at the start of the tenancy </w:t>
      </w:r>
    </w:p>
    <w:p w14:paraId="272ACDFF" w14:textId="77777777" w:rsidR="0048506E" w:rsidRPr="0048506E" w:rsidRDefault="0048506E" w:rsidP="0048506E">
      <w:pPr>
        <w:numPr>
          <w:ilvl w:val="0"/>
          <w:numId w:val="24"/>
        </w:numPr>
        <w:spacing w:after="120" w:line="256"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lastRenderedPageBreak/>
        <w:t>Written evidence that some efforts to gain access and comply with the remedial notice were made and access was prevented by the occupant</w:t>
      </w:r>
    </w:p>
    <w:p w14:paraId="302D7CF7" w14:textId="77777777" w:rsidR="0048506E" w:rsidRPr="0048506E" w:rsidRDefault="0048506E" w:rsidP="0048506E">
      <w:pPr>
        <w:spacing w:after="120"/>
        <w:rPr>
          <w:rFonts w:ascii="Aptos" w:eastAsia="Calibri" w:hAnsi="Aptos" w:cs="Times New Roman"/>
          <w:b/>
          <w:bCs/>
          <w:kern w:val="0"/>
          <w14:ligatures w14:val="none"/>
        </w:rPr>
      </w:pPr>
      <w:r w:rsidRPr="0048506E">
        <w:rPr>
          <w:rFonts w:ascii="Aptos" w:eastAsia="Calibri" w:hAnsi="Aptos" w:cs="Times New Roman"/>
          <w:b/>
          <w:bCs/>
          <w:kern w:val="0"/>
          <w14:ligatures w14:val="none"/>
        </w:rPr>
        <w:t>Determining the amount of the penalty charge for a subsequent breach</w:t>
      </w:r>
    </w:p>
    <w:p w14:paraId="5C1FD497" w14:textId="77777777" w:rsidR="0048506E" w:rsidRPr="0048506E" w:rsidRDefault="0048506E" w:rsidP="0048506E">
      <w:pPr>
        <w:spacing w:after="120" w:line="256" w:lineRule="auto"/>
        <w:rPr>
          <w:rFonts w:ascii="Aptos" w:eastAsia="Calibri" w:hAnsi="Aptos" w:cs="Times New Roman"/>
          <w:kern w:val="0"/>
          <w14:ligatures w14:val="none"/>
        </w:rPr>
      </w:pPr>
      <w:r w:rsidRPr="0048506E">
        <w:rPr>
          <w:rFonts w:ascii="Aptos" w:eastAsia="Calibri" w:hAnsi="Aptos" w:cs="Times New Roman"/>
          <w:kern w:val="0"/>
          <w14:ligatures w14:val="none"/>
        </w:rPr>
        <w:t>The penalty for subsequent breaches by the same landlord will be £5000.</w:t>
      </w:r>
    </w:p>
    <w:p w14:paraId="4C2B7BEC" w14:textId="77777777" w:rsidR="0048506E" w:rsidRPr="0048506E" w:rsidRDefault="0048506E" w:rsidP="0048506E">
      <w:pPr>
        <w:spacing w:after="120" w:line="256" w:lineRule="auto"/>
        <w:rPr>
          <w:rFonts w:ascii="Aptos" w:eastAsia="Calibri" w:hAnsi="Aptos" w:cs="Times New Roman"/>
          <w:kern w:val="0"/>
          <w14:ligatures w14:val="none"/>
        </w:rPr>
      </w:pPr>
    </w:p>
    <w:p w14:paraId="3B3DE91F" w14:textId="77777777" w:rsidR="0048506E" w:rsidRPr="0048506E" w:rsidRDefault="0048506E" w:rsidP="0048506E">
      <w:pPr>
        <w:spacing w:after="120"/>
        <w:rPr>
          <w:rFonts w:ascii="Aptos" w:eastAsia="Calibri" w:hAnsi="Aptos" w:cs="Arial"/>
          <w:b/>
          <w:bCs/>
          <w:color w:val="000000"/>
          <w:kern w:val="0"/>
          <w:lang w:val="en-US"/>
          <w14:ligatures w14:val="none"/>
        </w:rPr>
      </w:pPr>
      <w:r w:rsidRPr="0048506E">
        <w:rPr>
          <w:rFonts w:ascii="Aptos" w:eastAsia="Calibri" w:hAnsi="Aptos" w:cs="Times New Roman"/>
          <w:color w:val="000000"/>
          <w:kern w:val="0"/>
          <w14:ligatures w14:val="none"/>
        </w:rPr>
        <w:br w:type="page"/>
      </w:r>
    </w:p>
    <w:p w14:paraId="512522AD" w14:textId="77777777" w:rsidR="0048506E" w:rsidRPr="0048506E" w:rsidRDefault="0048506E" w:rsidP="0048506E">
      <w:pPr>
        <w:widowControl w:val="0"/>
        <w:autoSpaceDE w:val="0"/>
        <w:autoSpaceDN w:val="0"/>
        <w:spacing w:after="0" w:line="240" w:lineRule="auto"/>
        <w:ind w:firstLine="11"/>
        <w:outlineLvl w:val="0"/>
        <w:rPr>
          <w:rFonts w:ascii="Aptos" w:eastAsia="Arial" w:hAnsi="Aptos" w:cs="Arial"/>
          <w:b/>
          <w:bCs/>
          <w:color w:val="004254"/>
          <w:kern w:val="0"/>
          <w:lang w:val="en-US"/>
          <w14:ligatures w14:val="none"/>
        </w:rPr>
      </w:pPr>
      <w:r w:rsidRPr="0048506E">
        <w:rPr>
          <w:rFonts w:ascii="Aptos" w:eastAsia="Arial" w:hAnsi="Aptos" w:cs="Arial"/>
          <w:b/>
          <w:bCs/>
          <w:color w:val="004254"/>
          <w:kern w:val="0"/>
          <w:lang w:val="en-US"/>
          <w14:ligatures w14:val="none"/>
        </w:rPr>
        <w:lastRenderedPageBreak/>
        <w:t>Appendix 2: Statement of principles to determine the amount of a penalty charge for a breach of minimum energy efficiency standards (MEES) with respect to domestic privately rented property</w:t>
      </w:r>
    </w:p>
    <w:p w14:paraId="18B02D94" w14:textId="77777777" w:rsidR="0048506E" w:rsidRPr="0048506E" w:rsidRDefault="0048506E" w:rsidP="0048506E">
      <w:pPr>
        <w:spacing w:after="120" w:line="240" w:lineRule="auto"/>
        <w:rPr>
          <w:rFonts w:ascii="Aptos" w:eastAsia="Calibri" w:hAnsi="Aptos" w:cs="Times New Roman"/>
          <w:kern w:val="0"/>
          <w14:ligatures w14:val="none"/>
        </w:rPr>
      </w:pPr>
    </w:p>
    <w:p w14:paraId="39D13B5E"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The Energy Efficiency (Private Rented Property) (England and Wales) Regulations 2015 (“the Regulations”) make it unlawful to rent out a domestic property if it has an EPC (Energy Performance Certificate) rating of F or G (unless a valid exemption has been registered on the PRS Exemptions register).</w:t>
      </w:r>
    </w:p>
    <w:p w14:paraId="2ADF4C42"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The Regulations make it unlawful to fail to comply with a compliance notice served by the Council.</w:t>
      </w:r>
    </w:p>
    <w:p w14:paraId="537D41EA"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 xml:space="preserve">The Regulations cover all relevant properties, even where there has been no change of tenancy. </w:t>
      </w:r>
    </w:p>
    <w:p w14:paraId="075681DB"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The Regulations were introduced to improve the energy efficiency of housing in the private rented sector and to reduce greenhouse gas emissions and tackle climate change. They should help make tenants’ homes more thermally efficient.</w:t>
      </w:r>
    </w:p>
    <w:p w14:paraId="1CC06BDA"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An energy performance certificate (EPC) gives the property an energy efficiency rating – A rated properties are the most energy efficient and G rated are the least efficient. It’s valid for 10 years and must be provided by the owner of a property, when it is rented or sold.</w:t>
      </w:r>
    </w:p>
    <w:p w14:paraId="1CF65401"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If you are a landlord and you fail, when requested, to provide an EPC for the start of a tenancy, you will be in breach of the Regulations.</w:t>
      </w:r>
    </w:p>
    <w:p w14:paraId="31015A9E"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 xml:space="preserve">An EPC contains information about the type of heating system and typical energy costs. It also gives recommendations about how the energy use could be reduced, lowering running costs. You can find the recommended energy efficiency improvements on the current EPC. </w:t>
      </w:r>
    </w:p>
    <w:p w14:paraId="1BFE3857"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If you’re a private landlord, you must either:</w:t>
      </w:r>
    </w:p>
    <w:p w14:paraId="02C42C63" w14:textId="77777777" w:rsidR="0048506E" w:rsidRPr="0048506E" w:rsidRDefault="0048506E" w:rsidP="0048506E">
      <w:pPr>
        <w:numPr>
          <w:ilvl w:val="0"/>
          <w:numId w:val="25"/>
        </w:numPr>
        <w:spacing w:after="120" w:line="240"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ensure your rented properties have an EPC with a minimum ‘E’ rating</w:t>
      </w:r>
    </w:p>
    <w:p w14:paraId="3AE79015" w14:textId="77777777" w:rsidR="0048506E" w:rsidRPr="0048506E" w:rsidRDefault="0048506E" w:rsidP="0048506E">
      <w:pPr>
        <w:numPr>
          <w:ilvl w:val="0"/>
          <w:numId w:val="25"/>
        </w:numPr>
        <w:spacing w:after="120" w:line="240"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register a valid PRS exemption on the PRS exemptions register</w:t>
      </w:r>
    </w:p>
    <w:p w14:paraId="608F3F5C"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Failure to do either of these is a breach of the Regulations.</w:t>
      </w:r>
    </w:p>
    <w:p w14:paraId="727E9312"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 xml:space="preserve">The Council investigates any potential breaches of the regulations. If the Council is satisfied that you </w:t>
      </w:r>
      <w:proofErr w:type="gramStart"/>
      <w:r w:rsidRPr="0048506E">
        <w:rPr>
          <w:rFonts w:ascii="Aptos" w:eastAsia="Calibri" w:hAnsi="Aptos" w:cs="Times New Roman"/>
          <w:kern w:val="0"/>
          <w14:ligatures w14:val="none"/>
        </w:rPr>
        <w:t>are, or</w:t>
      </w:r>
      <w:proofErr w:type="gramEnd"/>
      <w:r w:rsidRPr="0048506E">
        <w:rPr>
          <w:rFonts w:ascii="Aptos" w:eastAsia="Calibri" w:hAnsi="Aptos" w:cs="Times New Roman"/>
          <w:kern w:val="0"/>
          <w14:ligatures w14:val="none"/>
        </w:rPr>
        <w:t xml:space="preserve"> have at any time in the 18 months preceding the date of service of the penalty notice, breached the Regulations, you may be subject to a penalty notice imposing a financial penalty. The Council may also impose a publication penalty.</w:t>
      </w:r>
    </w:p>
    <w:p w14:paraId="7CDD13E5"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The “publication penalty” means publication, for a minimum period of 12 months, or such longer period as the Council may decide, on the PRS Exemptions Register of such of the following information in relation to a penalty notice as the Council decides:</w:t>
      </w:r>
    </w:p>
    <w:p w14:paraId="485129DC" w14:textId="77777777" w:rsidR="0048506E" w:rsidRPr="0048506E" w:rsidRDefault="0048506E" w:rsidP="0048506E">
      <w:pPr>
        <w:numPr>
          <w:ilvl w:val="0"/>
          <w:numId w:val="26"/>
        </w:numPr>
        <w:spacing w:after="120" w:line="240"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Where the landlord is not an individual, the landlord’s name</w:t>
      </w:r>
    </w:p>
    <w:p w14:paraId="6CBFA586" w14:textId="77777777" w:rsidR="0048506E" w:rsidRPr="0048506E" w:rsidRDefault="0048506E" w:rsidP="0048506E">
      <w:pPr>
        <w:numPr>
          <w:ilvl w:val="0"/>
          <w:numId w:val="26"/>
        </w:numPr>
        <w:spacing w:after="120" w:line="240"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Details of the breach of these Regulations in respect of which the penalty notice has been issued</w:t>
      </w:r>
    </w:p>
    <w:p w14:paraId="0F3E0643" w14:textId="77777777" w:rsidR="0048506E" w:rsidRPr="0048506E" w:rsidRDefault="0048506E" w:rsidP="0048506E">
      <w:pPr>
        <w:numPr>
          <w:ilvl w:val="0"/>
          <w:numId w:val="26"/>
        </w:numPr>
        <w:spacing w:after="120" w:line="240"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The address of the property in relation to which the breach has occurred, and</w:t>
      </w:r>
    </w:p>
    <w:p w14:paraId="5982E020" w14:textId="77777777" w:rsidR="0048506E" w:rsidRPr="0048506E" w:rsidRDefault="0048506E" w:rsidP="0048506E">
      <w:pPr>
        <w:numPr>
          <w:ilvl w:val="0"/>
          <w:numId w:val="26"/>
        </w:numPr>
        <w:spacing w:after="120" w:line="240" w:lineRule="auto"/>
        <w:contextualSpacing/>
        <w:rPr>
          <w:rFonts w:ascii="Aptos" w:eastAsia="Calibri" w:hAnsi="Aptos" w:cs="Times New Roman"/>
          <w:kern w:val="0"/>
          <w14:ligatures w14:val="none"/>
        </w:rPr>
      </w:pPr>
      <w:r w:rsidRPr="0048506E">
        <w:rPr>
          <w:rFonts w:ascii="Aptos" w:eastAsia="Calibri" w:hAnsi="Aptos" w:cs="Times New Roman"/>
          <w:kern w:val="0"/>
          <w14:ligatures w14:val="none"/>
        </w:rPr>
        <w:t>The amount of any financial penalty imposed.</w:t>
      </w:r>
    </w:p>
    <w:p w14:paraId="0CDD16C7" w14:textId="77777777" w:rsidR="0048506E" w:rsidRPr="0048506E" w:rsidRDefault="0048506E" w:rsidP="0048506E">
      <w:p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The Council will impose the following financial penalties:</w:t>
      </w:r>
    </w:p>
    <w:p w14:paraId="18BF7A08" w14:textId="77777777" w:rsidR="0048506E" w:rsidRPr="0048506E" w:rsidRDefault="0048506E" w:rsidP="0048506E">
      <w:pPr>
        <w:numPr>
          <w:ilvl w:val="0"/>
          <w:numId w:val="16"/>
        </w:num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 xml:space="preserve">letting a property with an F or </w:t>
      </w:r>
      <w:proofErr w:type="spellStart"/>
      <w:r w:rsidRPr="0048506E">
        <w:rPr>
          <w:rFonts w:ascii="Aptos" w:eastAsia="Calibri" w:hAnsi="Aptos" w:cs="Times New Roman"/>
          <w:kern w:val="0"/>
          <w14:ligatures w14:val="none"/>
        </w:rPr>
        <w:t>G rating</w:t>
      </w:r>
      <w:proofErr w:type="spellEnd"/>
      <w:r w:rsidRPr="0048506E">
        <w:rPr>
          <w:rFonts w:ascii="Aptos" w:eastAsia="Calibri" w:hAnsi="Aptos" w:cs="Times New Roman"/>
          <w:kern w:val="0"/>
          <w14:ligatures w14:val="none"/>
        </w:rPr>
        <w:t xml:space="preserve"> for less than 3 months: £2,000</w:t>
      </w:r>
    </w:p>
    <w:p w14:paraId="04B93F0E" w14:textId="77777777" w:rsidR="0048506E" w:rsidRPr="0048506E" w:rsidRDefault="0048506E" w:rsidP="0048506E">
      <w:pPr>
        <w:numPr>
          <w:ilvl w:val="0"/>
          <w:numId w:val="16"/>
        </w:num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 xml:space="preserve">letting a property with an F or </w:t>
      </w:r>
      <w:proofErr w:type="spellStart"/>
      <w:r w:rsidRPr="0048506E">
        <w:rPr>
          <w:rFonts w:ascii="Aptos" w:eastAsia="Calibri" w:hAnsi="Aptos" w:cs="Times New Roman"/>
          <w:kern w:val="0"/>
          <w14:ligatures w14:val="none"/>
        </w:rPr>
        <w:t>G rating</w:t>
      </w:r>
      <w:proofErr w:type="spellEnd"/>
      <w:r w:rsidRPr="0048506E">
        <w:rPr>
          <w:rFonts w:ascii="Aptos" w:eastAsia="Calibri" w:hAnsi="Aptos" w:cs="Times New Roman"/>
          <w:kern w:val="0"/>
          <w14:ligatures w14:val="none"/>
        </w:rPr>
        <w:t xml:space="preserve"> for more than 3 months: £4,000</w:t>
      </w:r>
    </w:p>
    <w:p w14:paraId="51B4ADC3" w14:textId="77777777" w:rsidR="0048506E" w:rsidRPr="0048506E" w:rsidRDefault="0048506E" w:rsidP="0048506E">
      <w:pPr>
        <w:numPr>
          <w:ilvl w:val="0"/>
          <w:numId w:val="16"/>
        </w:num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registering false or misleading information on the PRS exemptions register: £1,000</w:t>
      </w:r>
    </w:p>
    <w:p w14:paraId="1B7AFC17" w14:textId="77777777" w:rsidR="0048506E" w:rsidRPr="0048506E" w:rsidRDefault="0048506E" w:rsidP="0048506E">
      <w:pPr>
        <w:numPr>
          <w:ilvl w:val="0"/>
          <w:numId w:val="16"/>
        </w:numPr>
        <w:spacing w:after="120" w:line="240" w:lineRule="auto"/>
        <w:rPr>
          <w:rFonts w:ascii="Aptos" w:eastAsia="Calibri" w:hAnsi="Aptos" w:cs="Times New Roman"/>
          <w:kern w:val="0"/>
          <w14:ligatures w14:val="none"/>
        </w:rPr>
      </w:pPr>
      <w:r w:rsidRPr="0048506E">
        <w:rPr>
          <w:rFonts w:ascii="Aptos" w:eastAsia="Calibri" w:hAnsi="Aptos" w:cs="Times New Roman"/>
          <w:kern w:val="0"/>
          <w14:ligatures w14:val="none"/>
        </w:rPr>
        <w:t>failing to provide information to the Council demanded by a compliance notice: £2,000</w:t>
      </w:r>
    </w:p>
    <w:p w14:paraId="5825C78F" w14:textId="77777777" w:rsidR="0048506E" w:rsidRPr="0048506E" w:rsidRDefault="0048506E" w:rsidP="0048506E">
      <w:pPr>
        <w:spacing w:after="120" w:line="240" w:lineRule="auto"/>
        <w:rPr>
          <w:rFonts w:ascii="Arial" w:eastAsia="Arial" w:hAnsi="Arial" w:cs="Arial"/>
          <w:b/>
          <w:bCs/>
          <w:color w:val="004254"/>
          <w:kern w:val="0"/>
          <w:sz w:val="36"/>
          <w:szCs w:val="36"/>
          <w:lang w:val="en-US"/>
          <w14:ligatures w14:val="none"/>
        </w:rPr>
      </w:pPr>
      <w:r w:rsidRPr="0048506E">
        <w:rPr>
          <w:rFonts w:ascii="Aptos" w:eastAsia="Calibri" w:hAnsi="Aptos" w:cs="Times New Roman"/>
          <w:kern w:val="0"/>
          <w14:ligatures w14:val="none"/>
        </w:rPr>
        <w:lastRenderedPageBreak/>
        <w:t>The Council may not impose a financial penalty under both subsections (a) and (b) above in relation to the same breach of the Regulations. But they may impose a financial penalty under either paragraph (a) or paragraph (b), together with financial penalties under paragraphs (c) and (d), in relation to the same breach. Where penalties are imposed under more than one of these paragraphs, the total amount of the financial penalty may not be more than £5,000.</w:t>
      </w:r>
      <w:r w:rsidRPr="0048506E">
        <w:rPr>
          <w:rFonts w:ascii="Calibri" w:eastAsia="Calibri" w:hAnsi="Calibri" w:cs="Times New Roman"/>
          <w:color w:val="004254"/>
          <w:kern w:val="0"/>
          <w:sz w:val="36"/>
          <w:szCs w:val="36"/>
          <w14:ligatures w14:val="none"/>
        </w:rPr>
        <w:br w:type="page"/>
      </w:r>
    </w:p>
    <w:sectPr w:rsidR="0048506E" w:rsidRPr="0048506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59F84" w14:textId="77777777" w:rsidR="00964DB6" w:rsidRDefault="00964DB6" w:rsidP="0048506E">
      <w:pPr>
        <w:spacing w:after="0" w:line="240" w:lineRule="auto"/>
      </w:pPr>
      <w:r>
        <w:separator/>
      </w:r>
    </w:p>
  </w:endnote>
  <w:endnote w:type="continuationSeparator" w:id="0">
    <w:p w14:paraId="6BEF7B93" w14:textId="77777777" w:rsidR="00964DB6" w:rsidRDefault="00964DB6" w:rsidP="0048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227960"/>
      <w:docPartObj>
        <w:docPartGallery w:val="Page Numbers (Bottom of Page)"/>
        <w:docPartUnique/>
      </w:docPartObj>
    </w:sdtPr>
    <w:sdtEndPr>
      <w:rPr>
        <w:noProof/>
      </w:rPr>
    </w:sdtEndPr>
    <w:sdtContent>
      <w:p w14:paraId="3126AC28" w14:textId="5B6561CA" w:rsidR="0048506E" w:rsidRDefault="004850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DF0459" w14:textId="77777777" w:rsidR="0048506E" w:rsidRDefault="00485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B1605" w14:textId="77777777" w:rsidR="00964DB6" w:rsidRDefault="00964DB6" w:rsidP="0048506E">
      <w:pPr>
        <w:spacing w:after="0" w:line="240" w:lineRule="auto"/>
      </w:pPr>
      <w:r>
        <w:separator/>
      </w:r>
    </w:p>
  </w:footnote>
  <w:footnote w:type="continuationSeparator" w:id="0">
    <w:p w14:paraId="1469818A" w14:textId="77777777" w:rsidR="00964DB6" w:rsidRDefault="00964DB6" w:rsidP="004850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52A9"/>
    <w:multiLevelType w:val="hybridMultilevel"/>
    <w:tmpl w:val="CB1A19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20A3A6B"/>
    <w:multiLevelType w:val="hybridMultilevel"/>
    <w:tmpl w:val="A8403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0A5B22"/>
    <w:multiLevelType w:val="hybridMultilevel"/>
    <w:tmpl w:val="C21AFE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C0948AF"/>
    <w:multiLevelType w:val="hybridMultilevel"/>
    <w:tmpl w:val="4510F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6A771F"/>
    <w:multiLevelType w:val="hybridMultilevel"/>
    <w:tmpl w:val="4CCA52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412C2F"/>
    <w:multiLevelType w:val="hybridMultilevel"/>
    <w:tmpl w:val="8DECFA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575BEF"/>
    <w:multiLevelType w:val="hybridMultilevel"/>
    <w:tmpl w:val="706EA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9E478A"/>
    <w:multiLevelType w:val="hybridMultilevel"/>
    <w:tmpl w:val="40D6C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284B53"/>
    <w:multiLevelType w:val="hybridMultilevel"/>
    <w:tmpl w:val="0C1499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FD63521"/>
    <w:multiLevelType w:val="hybridMultilevel"/>
    <w:tmpl w:val="056EC0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37365C7"/>
    <w:multiLevelType w:val="hybridMultilevel"/>
    <w:tmpl w:val="B7ACD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4E4732"/>
    <w:multiLevelType w:val="hybridMultilevel"/>
    <w:tmpl w:val="2960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400919"/>
    <w:multiLevelType w:val="hybridMultilevel"/>
    <w:tmpl w:val="EF4CE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FE3DF3"/>
    <w:multiLevelType w:val="hybridMultilevel"/>
    <w:tmpl w:val="997823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41A3E0A"/>
    <w:multiLevelType w:val="hybridMultilevel"/>
    <w:tmpl w:val="99527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050BD6"/>
    <w:multiLevelType w:val="hybridMultilevel"/>
    <w:tmpl w:val="F27074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DAA711F"/>
    <w:multiLevelType w:val="hybridMultilevel"/>
    <w:tmpl w:val="0B6EFB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DAB077F"/>
    <w:multiLevelType w:val="hybridMultilevel"/>
    <w:tmpl w:val="767AB670"/>
    <w:lvl w:ilvl="0" w:tplc="DA9647C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DE3EE8"/>
    <w:multiLevelType w:val="hybridMultilevel"/>
    <w:tmpl w:val="F106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9133DF"/>
    <w:multiLevelType w:val="hybridMultilevel"/>
    <w:tmpl w:val="829030FE"/>
    <w:lvl w:ilvl="0" w:tplc="5B32E9F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31531B6"/>
    <w:multiLevelType w:val="hybridMultilevel"/>
    <w:tmpl w:val="B1E2DC46"/>
    <w:lvl w:ilvl="0" w:tplc="DA9647C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CB1562"/>
    <w:multiLevelType w:val="multilevel"/>
    <w:tmpl w:val="30BCE6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75AF0D54"/>
    <w:multiLevelType w:val="hybridMultilevel"/>
    <w:tmpl w:val="1EF043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68803F0"/>
    <w:multiLevelType w:val="hybridMultilevel"/>
    <w:tmpl w:val="6F628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42456C"/>
    <w:multiLevelType w:val="hybridMultilevel"/>
    <w:tmpl w:val="259AD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8D5620"/>
    <w:multiLevelType w:val="hybridMultilevel"/>
    <w:tmpl w:val="AD6E03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32547790">
    <w:abstractNumId w:val="7"/>
  </w:num>
  <w:num w:numId="2" w16cid:durableId="492574388">
    <w:abstractNumId w:val="6"/>
  </w:num>
  <w:num w:numId="3" w16cid:durableId="280889848">
    <w:abstractNumId w:val="3"/>
  </w:num>
  <w:num w:numId="4" w16cid:durableId="1561404407">
    <w:abstractNumId w:val="23"/>
  </w:num>
  <w:num w:numId="5" w16cid:durableId="977342419">
    <w:abstractNumId w:val="11"/>
  </w:num>
  <w:num w:numId="6" w16cid:durableId="1173230020">
    <w:abstractNumId w:val="12"/>
  </w:num>
  <w:num w:numId="7" w16cid:durableId="338196761">
    <w:abstractNumId w:val="1"/>
  </w:num>
  <w:num w:numId="8" w16cid:durableId="1458986556">
    <w:abstractNumId w:val="24"/>
  </w:num>
  <w:num w:numId="9" w16cid:durableId="762263853">
    <w:abstractNumId w:val="10"/>
  </w:num>
  <w:num w:numId="10" w16cid:durableId="1579705766">
    <w:abstractNumId w:val="14"/>
  </w:num>
  <w:num w:numId="11" w16cid:durableId="2123910905">
    <w:abstractNumId w:val="20"/>
  </w:num>
  <w:num w:numId="12" w16cid:durableId="679434838">
    <w:abstractNumId w:val="17"/>
  </w:num>
  <w:num w:numId="13" w16cid:durableId="11735728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7884541">
    <w:abstractNumId w:val="8"/>
  </w:num>
  <w:num w:numId="15" w16cid:durableId="1310356015">
    <w:abstractNumId w:val="15"/>
  </w:num>
  <w:num w:numId="16" w16cid:durableId="6992867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2346745">
    <w:abstractNumId w:val="21"/>
  </w:num>
  <w:num w:numId="18" w16cid:durableId="1811359222">
    <w:abstractNumId w:val="2"/>
  </w:num>
  <w:num w:numId="19" w16cid:durableId="1306008019">
    <w:abstractNumId w:val="16"/>
  </w:num>
  <w:num w:numId="20" w16cid:durableId="1154907376">
    <w:abstractNumId w:val="13"/>
  </w:num>
  <w:num w:numId="21" w16cid:durableId="1494223279">
    <w:abstractNumId w:val="5"/>
  </w:num>
  <w:num w:numId="22" w16cid:durableId="695471356">
    <w:abstractNumId w:val="9"/>
  </w:num>
  <w:num w:numId="23" w16cid:durableId="1117216159">
    <w:abstractNumId w:val="25"/>
  </w:num>
  <w:num w:numId="24" w16cid:durableId="1340038526">
    <w:abstractNumId w:val="22"/>
  </w:num>
  <w:num w:numId="25" w16cid:durableId="1493180858">
    <w:abstractNumId w:val="4"/>
  </w:num>
  <w:num w:numId="26" w16cid:durableId="11795859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6E"/>
    <w:rsid w:val="00066212"/>
    <w:rsid w:val="0048506E"/>
    <w:rsid w:val="008B37F3"/>
    <w:rsid w:val="00964DB6"/>
    <w:rsid w:val="00A6200F"/>
    <w:rsid w:val="00D4623B"/>
    <w:rsid w:val="00DE7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75859"/>
  <w15:chartTrackingRefBased/>
  <w15:docId w15:val="{6A942045-E41C-4F5B-A6CE-3E5B14EF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0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50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50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50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50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5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0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50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0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0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0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06E"/>
    <w:rPr>
      <w:rFonts w:eastAsiaTheme="majorEastAsia" w:cstheme="majorBidi"/>
      <w:color w:val="272727" w:themeColor="text1" w:themeTint="D8"/>
    </w:rPr>
  </w:style>
  <w:style w:type="paragraph" w:styleId="Title">
    <w:name w:val="Title"/>
    <w:basedOn w:val="Normal"/>
    <w:next w:val="Normal"/>
    <w:link w:val="TitleChar"/>
    <w:uiPriority w:val="10"/>
    <w:qFormat/>
    <w:rsid w:val="004850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0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0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06E"/>
    <w:pPr>
      <w:spacing w:before="160"/>
      <w:jc w:val="center"/>
    </w:pPr>
    <w:rPr>
      <w:i/>
      <w:iCs/>
      <w:color w:val="404040" w:themeColor="text1" w:themeTint="BF"/>
    </w:rPr>
  </w:style>
  <w:style w:type="character" w:customStyle="1" w:styleId="QuoteChar">
    <w:name w:val="Quote Char"/>
    <w:basedOn w:val="DefaultParagraphFont"/>
    <w:link w:val="Quote"/>
    <w:uiPriority w:val="29"/>
    <w:rsid w:val="0048506E"/>
    <w:rPr>
      <w:i/>
      <w:iCs/>
      <w:color w:val="404040" w:themeColor="text1" w:themeTint="BF"/>
    </w:rPr>
  </w:style>
  <w:style w:type="paragraph" w:styleId="ListParagraph">
    <w:name w:val="List Paragraph"/>
    <w:basedOn w:val="Normal"/>
    <w:uiPriority w:val="34"/>
    <w:qFormat/>
    <w:rsid w:val="0048506E"/>
    <w:pPr>
      <w:ind w:left="720"/>
      <w:contextualSpacing/>
    </w:pPr>
  </w:style>
  <w:style w:type="character" w:styleId="IntenseEmphasis">
    <w:name w:val="Intense Emphasis"/>
    <w:basedOn w:val="DefaultParagraphFont"/>
    <w:uiPriority w:val="21"/>
    <w:qFormat/>
    <w:rsid w:val="0048506E"/>
    <w:rPr>
      <w:i/>
      <w:iCs/>
      <w:color w:val="0F4761" w:themeColor="accent1" w:themeShade="BF"/>
    </w:rPr>
  </w:style>
  <w:style w:type="paragraph" w:styleId="IntenseQuote">
    <w:name w:val="Intense Quote"/>
    <w:basedOn w:val="Normal"/>
    <w:next w:val="Normal"/>
    <w:link w:val="IntenseQuoteChar"/>
    <w:uiPriority w:val="30"/>
    <w:qFormat/>
    <w:rsid w:val="00485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506E"/>
    <w:rPr>
      <w:i/>
      <w:iCs/>
      <w:color w:val="0F4761" w:themeColor="accent1" w:themeShade="BF"/>
    </w:rPr>
  </w:style>
  <w:style w:type="character" w:styleId="IntenseReference">
    <w:name w:val="Intense Reference"/>
    <w:basedOn w:val="DefaultParagraphFont"/>
    <w:uiPriority w:val="32"/>
    <w:qFormat/>
    <w:rsid w:val="0048506E"/>
    <w:rPr>
      <w:b/>
      <w:bCs/>
      <w:smallCaps/>
      <w:color w:val="0F4761" w:themeColor="accent1" w:themeShade="BF"/>
      <w:spacing w:val="5"/>
    </w:rPr>
  </w:style>
  <w:style w:type="paragraph" w:styleId="Header">
    <w:name w:val="header"/>
    <w:basedOn w:val="Normal"/>
    <w:link w:val="HeaderChar"/>
    <w:uiPriority w:val="99"/>
    <w:unhideWhenUsed/>
    <w:rsid w:val="004850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06E"/>
  </w:style>
  <w:style w:type="paragraph" w:styleId="Footer">
    <w:name w:val="footer"/>
    <w:basedOn w:val="Normal"/>
    <w:link w:val="FooterChar"/>
    <w:uiPriority w:val="99"/>
    <w:unhideWhenUsed/>
    <w:rsid w:val="004850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housing@lichfielddc.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5378</Words>
  <Characters>27057</Characters>
  <Application>Microsoft Office Word</Application>
  <DocSecurity>0</DocSecurity>
  <Lines>483</Lines>
  <Paragraphs>261</Paragraphs>
  <ScaleCrop>false</ScaleCrop>
  <Company>Lichfield District Council</Company>
  <LinksUpToDate>false</LinksUpToDate>
  <CharactersWithSpaces>32174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Roberts</dc:creator>
  <cp:keywords/>
  <dc:description/>
  <cp:lastModifiedBy>Zoe Roberts</cp:lastModifiedBy>
  <cp:revision>1</cp:revision>
  <dcterms:created xsi:type="dcterms:W3CDTF">2026-10-26T12:13:00Z</dcterms:created>
  <dcterms:modified xsi:type="dcterms:W3CDTF">2026-10-26T12:20:00Z</dcterms:modified>
</cp:coreProperties>
</file>