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D21" w:rsidRPr="00481D2F" w:rsidRDefault="00253D21" w:rsidP="00253D21">
      <w:pPr>
        <w:rPr>
          <w:rFonts w:ascii="Calibri" w:hAnsi="Calibri" w:cs="Arial"/>
          <w:b/>
          <w:bCs/>
          <w:color w:val="006186"/>
          <w:sz w:val="22"/>
          <w:szCs w:val="22"/>
        </w:rPr>
      </w:pPr>
      <w:r w:rsidRPr="00481D2F">
        <w:rPr>
          <w:rFonts w:ascii="Calibri" w:hAnsi="Calibri" w:cs="Arial"/>
          <w:b/>
          <w:bCs/>
          <w:color w:val="006186"/>
          <w:sz w:val="22"/>
          <w:szCs w:val="22"/>
        </w:rPr>
        <w:t>Section 1</w:t>
      </w:r>
      <w:r w:rsidRPr="00481D2F">
        <w:rPr>
          <w:rFonts w:ascii="Calibri" w:hAnsi="Calibri" w:cs="Arial"/>
          <w:b/>
          <w:sz w:val="22"/>
          <w:szCs w:val="22"/>
        </w:rPr>
        <w:tab/>
      </w:r>
      <w:r w:rsidRPr="00481D2F">
        <w:rPr>
          <w:rFonts w:ascii="Calibri" w:hAnsi="Calibri" w:cs="Arial"/>
          <w:b/>
          <w:bCs/>
          <w:color w:val="006186"/>
          <w:sz w:val="22"/>
          <w:szCs w:val="22"/>
        </w:rPr>
        <w:t>Scope of Responsibility</w:t>
      </w:r>
    </w:p>
    <w:p w:rsidR="00253D21" w:rsidRPr="00481D2F" w:rsidRDefault="00253D21" w:rsidP="00253D21">
      <w:pPr>
        <w:rPr>
          <w:rFonts w:ascii="Calibri" w:hAnsi="Calibri" w:cs="Arial"/>
          <w:b/>
          <w:bCs/>
          <w:color w:val="006186"/>
          <w:sz w:val="22"/>
          <w:szCs w:val="22"/>
        </w:rPr>
      </w:pPr>
      <w:r w:rsidRPr="00481D2F">
        <w:rPr>
          <w:rFonts w:ascii="Calibri" w:hAnsi="Calibri" w:cs="Arial"/>
          <w:b/>
          <w:bCs/>
          <w:color w:val="006186"/>
          <w:sz w:val="22"/>
          <w:szCs w:val="22"/>
        </w:rPr>
        <w:t>Section 2</w:t>
      </w:r>
      <w:r w:rsidRPr="00481D2F">
        <w:rPr>
          <w:rFonts w:ascii="Calibri" w:hAnsi="Calibri" w:cs="Arial"/>
          <w:b/>
          <w:bCs/>
          <w:color w:val="006186"/>
          <w:sz w:val="22"/>
          <w:szCs w:val="22"/>
        </w:rPr>
        <w:tab/>
        <w:t>Purpose of the Governance Framework</w:t>
      </w:r>
    </w:p>
    <w:p w:rsidR="00253D21" w:rsidRPr="00481D2F" w:rsidRDefault="00253D21" w:rsidP="00253D21">
      <w:pPr>
        <w:tabs>
          <w:tab w:val="left" w:pos="720"/>
          <w:tab w:val="left" w:pos="1440"/>
          <w:tab w:val="left" w:pos="2160"/>
          <w:tab w:val="left" w:pos="2880"/>
          <w:tab w:val="left" w:pos="3600"/>
          <w:tab w:val="left" w:pos="4320"/>
          <w:tab w:val="right" w:pos="9780"/>
        </w:tabs>
        <w:rPr>
          <w:rFonts w:ascii="Calibri" w:hAnsi="Calibri" w:cs="Arial"/>
          <w:b/>
          <w:bCs/>
          <w:color w:val="006186"/>
          <w:sz w:val="22"/>
          <w:szCs w:val="22"/>
        </w:rPr>
      </w:pPr>
      <w:r w:rsidRPr="00481D2F">
        <w:rPr>
          <w:rFonts w:ascii="Calibri" w:hAnsi="Calibri" w:cs="Arial"/>
          <w:b/>
          <w:bCs/>
          <w:color w:val="006186"/>
          <w:sz w:val="22"/>
          <w:szCs w:val="22"/>
        </w:rPr>
        <w:t>Section 3</w:t>
      </w:r>
      <w:r w:rsidRPr="00481D2F">
        <w:rPr>
          <w:rFonts w:ascii="Calibri" w:hAnsi="Calibri" w:cs="Arial"/>
          <w:b/>
          <w:bCs/>
          <w:color w:val="006186"/>
          <w:sz w:val="22"/>
          <w:szCs w:val="22"/>
        </w:rPr>
        <w:tab/>
        <w:t>The Governance Framework</w:t>
      </w:r>
      <w:r w:rsidRPr="00481D2F">
        <w:rPr>
          <w:rFonts w:ascii="Calibri" w:hAnsi="Calibri" w:cs="Arial"/>
          <w:b/>
          <w:bCs/>
          <w:color w:val="006186"/>
          <w:sz w:val="22"/>
          <w:szCs w:val="22"/>
        </w:rPr>
        <w:tab/>
      </w:r>
    </w:p>
    <w:p w:rsidR="00253D21" w:rsidRPr="00481D2F" w:rsidRDefault="00253D21" w:rsidP="00253D21">
      <w:pPr>
        <w:rPr>
          <w:rFonts w:ascii="Calibri" w:hAnsi="Calibri" w:cs="Arial"/>
          <w:b/>
          <w:bCs/>
          <w:color w:val="006186"/>
          <w:sz w:val="22"/>
          <w:szCs w:val="22"/>
        </w:rPr>
      </w:pPr>
      <w:r w:rsidRPr="00481D2F">
        <w:rPr>
          <w:rFonts w:ascii="Calibri" w:hAnsi="Calibri" w:cs="Arial"/>
          <w:b/>
          <w:bCs/>
          <w:color w:val="006186"/>
          <w:sz w:val="22"/>
          <w:szCs w:val="22"/>
        </w:rPr>
        <w:t>Section 4</w:t>
      </w:r>
      <w:r w:rsidRPr="00481D2F">
        <w:rPr>
          <w:rFonts w:ascii="Calibri" w:hAnsi="Calibri" w:cs="Arial"/>
          <w:b/>
          <w:bCs/>
          <w:color w:val="006186"/>
          <w:sz w:val="22"/>
          <w:szCs w:val="22"/>
        </w:rPr>
        <w:tab/>
        <w:t>Annual Review of the Effectiveness of the Governance Framework</w:t>
      </w:r>
    </w:p>
    <w:p w:rsidR="00253D21" w:rsidRPr="00481D2F" w:rsidRDefault="00253D21" w:rsidP="00253D21">
      <w:pPr>
        <w:rPr>
          <w:rFonts w:ascii="Calibri" w:hAnsi="Calibri" w:cs="Arial"/>
          <w:b/>
          <w:bCs/>
          <w:color w:val="006186"/>
          <w:sz w:val="22"/>
          <w:szCs w:val="22"/>
        </w:rPr>
      </w:pPr>
      <w:r w:rsidRPr="00481D2F">
        <w:rPr>
          <w:rFonts w:ascii="Calibri" w:hAnsi="Calibri" w:cs="Arial"/>
          <w:b/>
          <w:bCs/>
          <w:color w:val="006186"/>
          <w:sz w:val="22"/>
          <w:szCs w:val="22"/>
        </w:rPr>
        <w:t xml:space="preserve">Section 5 </w:t>
      </w:r>
      <w:r w:rsidRPr="00481D2F">
        <w:rPr>
          <w:rFonts w:ascii="Calibri" w:hAnsi="Calibri" w:cs="Arial"/>
          <w:b/>
          <w:bCs/>
          <w:color w:val="006186"/>
          <w:sz w:val="22"/>
          <w:szCs w:val="22"/>
        </w:rPr>
        <w:tab/>
        <w:t>Update on Significant Governance Issues 201</w:t>
      </w:r>
      <w:r w:rsidR="007F5415" w:rsidRPr="00481D2F">
        <w:rPr>
          <w:rFonts w:ascii="Calibri" w:hAnsi="Calibri" w:cs="Arial"/>
          <w:b/>
          <w:bCs/>
          <w:color w:val="006186"/>
          <w:sz w:val="22"/>
          <w:szCs w:val="22"/>
        </w:rPr>
        <w:t>9</w:t>
      </w:r>
      <w:r w:rsidRPr="00481D2F">
        <w:rPr>
          <w:rFonts w:ascii="Calibri" w:hAnsi="Calibri" w:cs="Arial"/>
          <w:b/>
          <w:bCs/>
          <w:color w:val="006186"/>
          <w:sz w:val="22"/>
          <w:szCs w:val="22"/>
        </w:rPr>
        <w:t>/</w:t>
      </w:r>
      <w:r w:rsidR="007F5415" w:rsidRPr="00481D2F">
        <w:rPr>
          <w:rFonts w:ascii="Calibri" w:hAnsi="Calibri" w:cs="Arial"/>
          <w:b/>
          <w:bCs/>
          <w:color w:val="006186"/>
          <w:sz w:val="22"/>
          <w:szCs w:val="22"/>
        </w:rPr>
        <w:t>20</w:t>
      </w:r>
    </w:p>
    <w:p w:rsidR="00253D21" w:rsidRPr="00481D2F" w:rsidRDefault="00253D21" w:rsidP="00253D21">
      <w:pPr>
        <w:rPr>
          <w:rFonts w:ascii="Calibri" w:hAnsi="Calibri" w:cs="Arial"/>
          <w:b/>
          <w:bCs/>
          <w:color w:val="006186"/>
          <w:sz w:val="22"/>
          <w:szCs w:val="22"/>
        </w:rPr>
      </w:pPr>
      <w:r w:rsidRPr="00481D2F">
        <w:rPr>
          <w:rFonts w:ascii="Calibri" w:hAnsi="Calibri" w:cs="Arial"/>
          <w:b/>
          <w:bCs/>
          <w:color w:val="006186"/>
          <w:sz w:val="22"/>
          <w:szCs w:val="22"/>
        </w:rPr>
        <w:t>Section 6</w:t>
      </w:r>
      <w:r w:rsidRPr="00481D2F">
        <w:rPr>
          <w:rFonts w:ascii="Calibri" w:hAnsi="Calibri" w:cs="Arial"/>
          <w:b/>
          <w:bCs/>
          <w:color w:val="006186"/>
          <w:sz w:val="22"/>
          <w:szCs w:val="22"/>
        </w:rPr>
        <w:tab/>
        <w:t>Reflecting the Challenges from C</w:t>
      </w:r>
      <w:r w:rsidR="0020097A" w:rsidRPr="00481D2F">
        <w:rPr>
          <w:rFonts w:ascii="Calibri" w:hAnsi="Calibri" w:cs="Arial"/>
          <w:b/>
          <w:bCs/>
          <w:color w:val="006186"/>
          <w:sz w:val="22"/>
          <w:szCs w:val="22"/>
        </w:rPr>
        <w:t>ovid</w:t>
      </w:r>
      <w:r w:rsidR="006C7E67" w:rsidRPr="00481D2F">
        <w:rPr>
          <w:rFonts w:ascii="Calibri" w:hAnsi="Calibri" w:cs="Arial"/>
          <w:b/>
          <w:bCs/>
          <w:color w:val="006186"/>
          <w:sz w:val="22"/>
          <w:szCs w:val="22"/>
        </w:rPr>
        <w:t>-19</w:t>
      </w:r>
      <w:r w:rsidRPr="00481D2F">
        <w:rPr>
          <w:rFonts w:ascii="Calibri" w:hAnsi="Calibri" w:cs="Arial"/>
          <w:b/>
          <w:bCs/>
          <w:color w:val="006186"/>
          <w:sz w:val="22"/>
          <w:szCs w:val="22"/>
        </w:rPr>
        <w:t xml:space="preserve"> </w:t>
      </w:r>
    </w:p>
    <w:p w:rsidR="00253D21" w:rsidRPr="007F5415" w:rsidRDefault="00253D21" w:rsidP="00253D21">
      <w:pPr>
        <w:rPr>
          <w:rFonts w:ascii="Calibri" w:hAnsi="Calibri" w:cs="Arial"/>
          <w:highlight w:val="yellow"/>
        </w:rPr>
      </w:pPr>
    </w:p>
    <w:p w:rsidR="00253D21" w:rsidRPr="00481D2F" w:rsidRDefault="00253D21" w:rsidP="00253D21">
      <w:pPr>
        <w:keepNext/>
        <w:keepLines/>
        <w:spacing w:after="238"/>
        <w:jc w:val="both"/>
        <w:rPr>
          <w:rFonts w:ascii="Calibri" w:eastAsia="Arial" w:hAnsi="Calibri" w:cs="Arial"/>
          <w:b/>
          <w:bCs/>
          <w:color w:val="006186"/>
          <w:lang w:eastAsia="en-GB" w:bidi="en-GB"/>
        </w:rPr>
      </w:pPr>
      <w:r w:rsidRPr="00481D2F">
        <w:rPr>
          <w:rFonts w:ascii="Calibri" w:eastAsia="Arial" w:hAnsi="Calibri" w:cs="Arial"/>
          <w:b/>
          <w:bCs/>
          <w:color w:val="006186"/>
          <w:lang w:eastAsia="en-GB" w:bidi="en-GB"/>
        </w:rPr>
        <w:t>Section 1: Scope of Responsibility</w:t>
      </w:r>
    </w:p>
    <w:p w:rsidR="00253D21" w:rsidRPr="007F5415" w:rsidRDefault="00253D21" w:rsidP="00253D21">
      <w:pPr>
        <w:spacing w:before="120" w:after="120"/>
        <w:jc w:val="both"/>
        <w:rPr>
          <w:rFonts w:ascii="Calibri" w:eastAsia="Calibri" w:hAnsi="Calibri" w:cs="Calibri"/>
          <w:sz w:val="22"/>
          <w:szCs w:val="22"/>
        </w:rPr>
      </w:pPr>
      <w:r w:rsidRPr="007F5415">
        <w:rPr>
          <w:rFonts w:ascii="Calibri" w:eastAsia="Calibri" w:hAnsi="Calibri" w:cs="Calibri"/>
          <w:sz w:val="22"/>
          <w:szCs w:val="22"/>
        </w:rPr>
        <w:t>In discharging this overall responsibility, the Council is responsible for putting in place proper arrangements (known as a Governance Framework) for the governance of its affairs and facilitating the effective exercise of its functions, including arrangements for the management of risk.</w:t>
      </w:r>
    </w:p>
    <w:p w:rsidR="00253D21" w:rsidRPr="007F5415" w:rsidRDefault="00253D21" w:rsidP="00253D21">
      <w:pPr>
        <w:spacing w:before="120" w:after="120"/>
        <w:jc w:val="both"/>
        <w:rPr>
          <w:rFonts w:ascii="Calibri" w:eastAsia="Calibri" w:hAnsi="Calibri" w:cs="Calibri"/>
          <w:sz w:val="22"/>
          <w:szCs w:val="22"/>
          <w:highlight w:val="yellow"/>
        </w:rPr>
      </w:pPr>
      <w:r w:rsidRPr="007F5415">
        <w:rPr>
          <w:rFonts w:ascii="Calibri" w:eastAsia="Calibri" w:hAnsi="Calibri" w:cs="Calibri"/>
          <w:sz w:val="22"/>
          <w:szCs w:val="22"/>
        </w:rPr>
        <w:t>The Council</w:t>
      </w:r>
      <w:r w:rsidRPr="007F5415">
        <w:rPr>
          <w:rFonts w:ascii="Calibri" w:hAnsi="Calibri" w:cs="Arial"/>
          <w:sz w:val="22"/>
          <w:szCs w:val="22"/>
        </w:rPr>
        <w:t xml:space="preserve"> has adopted a Code of Corporate Governance (“the Code”), which is consistent with the principles of the CIPFA (Chartered Institute of Public Finance and Accountancy)/SOLACE (Society of Local Authority Chief Executives) Framework ‘Delivering Good Governance in Local Government’ </w:t>
      </w:r>
      <w:r w:rsidRPr="007F5415">
        <w:rPr>
          <w:rFonts w:ascii="Calibri" w:eastAsia="Calibri" w:hAnsi="Calibri" w:cs="Calibri"/>
          <w:sz w:val="22"/>
          <w:szCs w:val="22"/>
        </w:rPr>
        <w:t xml:space="preserve">(2016).  </w:t>
      </w:r>
      <w:r w:rsidRPr="00247119">
        <w:rPr>
          <w:rFonts w:ascii="Calibri" w:eastAsia="Calibri" w:hAnsi="Calibri" w:cs="Calibri"/>
          <w:sz w:val="22"/>
          <w:szCs w:val="22"/>
        </w:rPr>
        <w:t xml:space="preserve">This Code was </w:t>
      </w:r>
      <w:r w:rsidR="00247119" w:rsidRPr="00247119">
        <w:rPr>
          <w:rFonts w:ascii="Calibri" w:eastAsia="Calibri" w:hAnsi="Calibri" w:cs="Calibri"/>
          <w:sz w:val="22"/>
          <w:szCs w:val="22"/>
        </w:rPr>
        <w:t xml:space="preserve">circulated and </w:t>
      </w:r>
      <w:r w:rsidRPr="00247119">
        <w:rPr>
          <w:rFonts w:ascii="Calibri" w:eastAsia="Calibri" w:hAnsi="Calibri" w:cs="Calibri"/>
          <w:sz w:val="22"/>
          <w:szCs w:val="22"/>
        </w:rPr>
        <w:t>agreed by Audit and Member Standards Committee in</w:t>
      </w:r>
      <w:r w:rsidR="00247119" w:rsidRPr="00247119">
        <w:rPr>
          <w:rFonts w:ascii="Calibri" w:eastAsia="Calibri" w:hAnsi="Calibri" w:cs="Calibri"/>
          <w:sz w:val="22"/>
          <w:szCs w:val="22"/>
        </w:rPr>
        <w:t xml:space="preserve"> May 2020</w:t>
      </w:r>
      <w:r w:rsidRPr="00247119">
        <w:rPr>
          <w:rFonts w:ascii="Calibri" w:eastAsia="Calibri" w:hAnsi="Calibri" w:cs="Calibri"/>
          <w:sz w:val="22"/>
          <w:szCs w:val="22"/>
        </w:rPr>
        <w:t>.</w:t>
      </w:r>
    </w:p>
    <w:p w:rsidR="00253D21" w:rsidRPr="007F5415" w:rsidRDefault="00253D21" w:rsidP="00253D21">
      <w:pPr>
        <w:spacing w:before="120" w:after="120"/>
        <w:jc w:val="both"/>
        <w:rPr>
          <w:rFonts w:ascii="Calibri" w:eastAsia="Calibri" w:hAnsi="Calibri" w:cs="Calibri"/>
          <w:sz w:val="22"/>
          <w:szCs w:val="22"/>
        </w:rPr>
      </w:pPr>
      <w:r w:rsidRPr="007F5415">
        <w:rPr>
          <w:rFonts w:ascii="Calibri" w:eastAsia="Calibri" w:hAnsi="Calibri" w:cs="Calibri"/>
          <w:sz w:val="22"/>
          <w:szCs w:val="22"/>
        </w:rPr>
        <w:t>This statement explains how the Council has complied with the Code. It also meets the requirements of the Accounts and Audit (England) Regulations 2015, which requires all relevant bodies to prepare an Annual Governance Statement.</w:t>
      </w:r>
    </w:p>
    <w:p w:rsidR="00253D21" w:rsidRPr="00481D2F" w:rsidRDefault="00253D21" w:rsidP="00253D21">
      <w:pPr>
        <w:keepNext/>
        <w:keepLines/>
        <w:spacing w:after="238"/>
        <w:jc w:val="both"/>
        <w:rPr>
          <w:rFonts w:ascii="Calibri" w:eastAsia="Arial" w:hAnsi="Calibri" w:cs="Arial"/>
          <w:b/>
          <w:bCs/>
          <w:color w:val="006186"/>
          <w:lang w:eastAsia="en-GB" w:bidi="en-GB"/>
        </w:rPr>
      </w:pPr>
      <w:bookmarkStart w:id="0" w:name="bookmark1"/>
      <w:r w:rsidRPr="00481D2F">
        <w:rPr>
          <w:rFonts w:ascii="Calibri" w:eastAsia="Arial" w:hAnsi="Calibri" w:cs="Arial"/>
          <w:b/>
          <w:bCs/>
          <w:color w:val="006186"/>
          <w:lang w:eastAsia="en-GB" w:bidi="en-GB"/>
        </w:rPr>
        <w:t>Section 2: Purpose of the Governance Framework</w:t>
      </w:r>
      <w:bookmarkEnd w:id="0"/>
    </w:p>
    <w:p w:rsidR="00253D21" w:rsidRPr="007F5415" w:rsidRDefault="00253D21" w:rsidP="00253D21">
      <w:pPr>
        <w:spacing w:before="120" w:after="120"/>
        <w:jc w:val="both"/>
        <w:rPr>
          <w:rFonts w:ascii="Calibri" w:eastAsia="Calibri" w:hAnsi="Calibri" w:cs="Calibri"/>
          <w:sz w:val="22"/>
          <w:szCs w:val="22"/>
        </w:rPr>
      </w:pPr>
      <w:r w:rsidRPr="007F5415">
        <w:rPr>
          <w:rFonts w:ascii="Calibri" w:hAnsi="Calibri" w:cs="Arial"/>
          <w:sz w:val="22"/>
          <w:szCs w:val="22"/>
        </w:rPr>
        <w:t xml:space="preserve">The Governance Framework comprises the systems, processes, culture and values by which the Council is directed and controlled, and the activities through which it accounts to, engages with and </w:t>
      </w:r>
      <w:r w:rsidRPr="007F5415">
        <w:rPr>
          <w:rFonts w:ascii="Calibri" w:eastAsia="Calibri" w:hAnsi="Calibri" w:cs="Calibri"/>
          <w:sz w:val="22"/>
          <w:szCs w:val="22"/>
        </w:rPr>
        <w:t>leads its communities. It enables the Authority to monitor the achievement of its strategic objectives and to consider whether those objectives have led to the delivery of appropriate, cost-effective services.</w:t>
      </w:r>
    </w:p>
    <w:p w:rsidR="00253D21" w:rsidRPr="007F5415" w:rsidRDefault="00253D21" w:rsidP="00253D21">
      <w:pPr>
        <w:spacing w:before="120" w:after="120"/>
        <w:jc w:val="both"/>
        <w:rPr>
          <w:rFonts w:ascii="Calibri" w:eastAsia="Calibri" w:hAnsi="Calibri" w:cs="Calibri"/>
          <w:sz w:val="22"/>
          <w:szCs w:val="22"/>
        </w:rPr>
      </w:pPr>
      <w:r w:rsidRPr="007F5415">
        <w:rPr>
          <w:rFonts w:ascii="Calibri" w:eastAsia="Calibri" w:hAnsi="Calibri" w:cs="Calibri"/>
          <w:sz w:val="22"/>
          <w:szCs w:val="22"/>
        </w:rPr>
        <w:t>The system of Internal Control is a significant part of that Framework and is designed to manage risk to a reasonable</w:t>
      </w:r>
      <w:r w:rsidRPr="007F5415">
        <w:rPr>
          <w:rFonts w:ascii="Calibri" w:hAnsi="Calibri" w:cs="Arial"/>
          <w:sz w:val="22"/>
          <w:szCs w:val="22"/>
        </w:rPr>
        <w:t xml:space="preserve"> level. It cannot eliminate all risk of failure to achieve policies, aims and objectives and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w:t>
      </w:r>
      <w:r w:rsidRPr="007F5415">
        <w:rPr>
          <w:rFonts w:ascii="Calibri" w:eastAsia="Calibri" w:hAnsi="Calibri" w:cs="Calibri"/>
          <w:sz w:val="22"/>
          <w:szCs w:val="22"/>
        </w:rPr>
        <w:t>economically.</w:t>
      </w:r>
    </w:p>
    <w:p w:rsidR="00253D21" w:rsidRPr="007F5415" w:rsidRDefault="00253D21" w:rsidP="00253D21">
      <w:pPr>
        <w:spacing w:before="120" w:after="120"/>
        <w:jc w:val="both"/>
        <w:rPr>
          <w:rFonts w:ascii="Calibri" w:hAnsi="Calibri" w:cs="Arial"/>
          <w:sz w:val="22"/>
          <w:szCs w:val="22"/>
        </w:rPr>
      </w:pPr>
      <w:r w:rsidRPr="007F5415">
        <w:rPr>
          <w:rFonts w:ascii="Calibri" w:eastAsia="Calibri" w:hAnsi="Calibri" w:cs="Calibri"/>
          <w:sz w:val="22"/>
          <w:szCs w:val="22"/>
        </w:rPr>
        <w:t>The Governance Framework has been in place at Lichfield District Council for the year ended 31 March 202</w:t>
      </w:r>
      <w:r w:rsidR="007F5415">
        <w:rPr>
          <w:rFonts w:ascii="Calibri" w:eastAsia="Calibri" w:hAnsi="Calibri" w:cs="Calibri"/>
          <w:sz w:val="22"/>
          <w:szCs w:val="22"/>
        </w:rPr>
        <w:t>1</w:t>
      </w:r>
      <w:r w:rsidRPr="007F5415">
        <w:rPr>
          <w:rFonts w:ascii="Calibri" w:hAnsi="Calibri" w:cs="Arial"/>
          <w:sz w:val="22"/>
          <w:szCs w:val="22"/>
        </w:rPr>
        <w:t xml:space="preserve"> and up to the date of approval of the Statement of Accounts.</w:t>
      </w:r>
    </w:p>
    <w:p w:rsidR="00253D21" w:rsidRPr="00B85E73" w:rsidRDefault="00253D21" w:rsidP="007F5415">
      <w:pPr>
        <w:keepNext/>
        <w:keepLines/>
        <w:spacing w:after="238"/>
        <w:jc w:val="both"/>
        <w:rPr>
          <w:rFonts w:ascii="Calibri" w:eastAsia="Arial" w:hAnsi="Calibri" w:cs="Arial"/>
          <w:b/>
          <w:bCs/>
          <w:color w:val="006186"/>
          <w:lang w:eastAsia="en-GB" w:bidi="en-GB"/>
        </w:rPr>
      </w:pPr>
      <w:bookmarkStart w:id="1" w:name="bookmark2"/>
      <w:r w:rsidRPr="00B85E73">
        <w:rPr>
          <w:rFonts w:ascii="Calibri" w:eastAsia="Arial" w:hAnsi="Calibri" w:cs="Arial"/>
          <w:b/>
          <w:bCs/>
          <w:color w:val="006186"/>
          <w:lang w:eastAsia="en-GB" w:bidi="en-GB"/>
        </w:rPr>
        <w:t>Section 3: The Governance Framework</w:t>
      </w:r>
      <w:bookmarkEnd w:id="1"/>
    </w:p>
    <w:p w:rsidR="00253D21" w:rsidRPr="007F5415" w:rsidRDefault="00253D21" w:rsidP="007F5415">
      <w:pPr>
        <w:jc w:val="both"/>
        <w:rPr>
          <w:rFonts w:ascii="Calibri" w:hAnsi="Calibri" w:cs="Arial"/>
          <w:sz w:val="22"/>
          <w:szCs w:val="22"/>
        </w:rPr>
      </w:pPr>
      <w:r w:rsidRPr="007F5415">
        <w:rPr>
          <w:rFonts w:ascii="Calibri" w:hAnsi="Calibri" w:cs="Arial"/>
          <w:sz w:val="22"/>
          <w:szCs w:val="22"/>
        </w:rPr>
        <w:t>The key elements of the systems and processes that comprise the Council’s Governance Framework are summarised in our seven Core Principles. These are discussed below.</w:t>
      </w:r>
    </w:p>
    <w:p w:rsidR="00253D21" w:rsidRDefault="00253D21" w:rsidP="007F5415">
      <w:pPr>
        <w:jc w:val="both"/>
        <w:rPr>
          <w:rFonts w:ascii="Calibri" w:hAnsi="Calibri" w:cs="Arial"/>
        </w:rPr>
      </w:pPr>
    </w:p>
    <w:p w:rsidR="00E90EB3" w:rsidRPr="00B85E73" w:rsidRDefault="00E90EB3" w:rsidP="00E90EB3">
      <w:pPr>
        <w:widowControl w:val="0"/>
        <w:pBdr>
          <w:top w:val="single" w:sz="4" w:space="1" w:color="auto"/>
          <w:left w:val="single" w:sz="4" w:space="4" w:color="auto"/>
          <w:bottom w:val="single" w:sz="4" w:space="1" w:color="auto"/>
          <w:right w:val="single" w:sz="4" w:space="4" w:color="auto"/>
        </w:pBdr>
        <w:shd w:val="clear" w:color="auto" w:fill="CAB8F6"/>
        <w:spacing w:after="278" w:line="246" w:lineRule="exact"/>
        <w:ind w:left="567" w:hanging="567"/>
        <w:jc w:val="both"/>
        <w:rPr>
          <w:rFonts w:ascii="Calibri" w:eastAsia="Arial" w:hAnsi="Calibri" w:cs="Arial"/>
          <w:b/>
          <w:bCs/>
          <w:sz w:val="22"/>
          <w:szCs w:val="22"/>
          <w:lang w:eastAsia="en-GB"/>
        </w:rPr>
      </w:pPr>
      <w:r w:rsidRPr="00B85E73">
        <w:rPr>
          <w:rFonts w:ascii="Calibri" w:eastAsia="Arial" w:hAnsi="Calibri" w:cs="Arial"/>
          <w:b/>
          <w:bCs/>
          <w:sz w:val="22"/>
          <w:szCs w:val="22"/>
          <w:lang w:eastAsia="en-GB"/>
        </w:rPr>
        <w:t>A</w:t>
      </w:r>
      <w:r w:rsidRPr="00B85E73">
        <w:rPr>
          <w:rFonts w:ascii="Calibri" w:eastAsia="Arial" w:hAnsi="Calibri" w:cs="Arial"/>
          <w:b/>
          <w:bCs/>
          <w:sz w:val="22"/>
          <w:szCs w:val="22"/>
          <w:lang w:eastAsia="en-GB"/>
        </w:rPr>
        <w:tab/>
        <w:t>Behaving with Integrity, Demonstrating Strong Commitment to Ethical Values and Respecting the Rule of Law</w:t>
      </w:r>
    </w:p>
    <w:p w:rsidR="005A68C3" w:rsidRDefault="00253D21" w:rsidP="007F5415">
      <w:pPr>
        <w:spacing w:before="120" w:after="120"/>
        <w:jc w:val="both"/>
        <w:rPr>
          <w:rFonts w:ascii="Calibri" w:eastAsia="Calibri" w:hAnsi="Calibri" w:cs="Calibri"/>
          <w:sz w:val="22"/>
          <w:szCs w:val="22"/>
        </w:rPr>
      </w:pPr>
      <w:r w:rsidRPr="007F5415">
        <w:rPr>
          <w:rFonts w:ascii="Calibri" w:hAnsi="Calibri" w:cs="Calibri"/>
          <w:sz w:val="22"/>
          <w:szCs w:val="22"/>
        </w:rPr>
        <w:t xml:space="preserve">We have an Audit and Member Standards Committee which has responsibility for promoting and maintaining high standards of conduct by Members, ensuring that they observe the Members’ Code of Conduct. The Code of Conduct is supported by training and development </w:t>
      </w:r>
      <w:r w:rsidRPr="007F5415">
        <w:rPr>
          <w:rFonts w:ascii="Calibri" w:eastAsia="Calibri" w:hAnsi="Calibri" w:cs="Calibri"/>
          <w:sz w:val="22"/>
          <w:szCs w:val="22"/>
        </w:rPr>
        <w:t>programmes for Members</w:t>
      </w:r>
      <w:r w:rsidR="00DA3EA8">
        <w:rPr>
          <w:rFonts w:ascii="Calibri" w:eastAsia="Calibri" w:hAnsi="Calibri" w:cs="Calibri"/>
          <w:sz w:val="22"/>
          <w:szCs w:val="22"/>
        </w:rPr>
        <w:t>.</w:t>
      </w:r>
    </w:p>
    <w:p w:rsidR="00253D21" w:rsidRPr="007F5415" w:rsidRDefault="00253D21" w:rsidP="007F5415">
      <w:pPr>
        <w:spacing w:before="120" w:after="120"/>
        <w:jc w:val="both"/>
        <w:rPr>
          <w:rFonts w:ascii="Calibri" w:eastAsia="Calibri" w:hAnsi="Calibri" w:cs="Calibri"/>
          <w:sz w:val="22"/>
          <w:szCs w:val="22"/>
        </w:rPr>
      </w:pPr>
      <w:r w:rsidRPr="007F5415">
        <w:rPr>
          <w:rFonts w:ascii="Calibri" w:eastAsia="Calibri" w:hAnsi="Calibri" w:cs="Calibri"/>
          <w:sz w:val="22"/>
          <w:szCs w:val="22"/>
        </w:rPr>
        <w:lastRenderedPageBreak/>
        <w:t>The</w:t>
      </w:r>
      <w:r w:rsidRPr="007F5415">
        <w:rPr>
          <w:rFonts w:ascii="Calibri" w:hAnsi="Calibri" w:cs="Calibri"/>
          <w:sz w:val="22"/>
          <w:szCs w:val="22"/>
        </w:rPr>
        <w:t xml:space="preserve"> Council’s Monitoring Officer reports any complaints and their outcomes to the Audit and Member </w:t>
      </w:r>
      <w:r w:rsidRPr="007F5415">
        <w:rPr>
          <w:rFonts w:ascii="Calibri" w:eastAsia="Calibri" w:hAnsi="Calibri" w:cs="Calibri"/>
          <w:sz w:val="22"/>
          <w:szCs w:val="22"/>
        </w:rPr>
        <w:t xml:space="preserve">Standards Committee.  </w:t>
      </w:r>
    </w:p>
    <w:p w:rsidR="00253D21" w:rsidRPr="00665AED" w:rsidRDefault="00253D21" w:rsidP="007F5415">
      <w:pPr>
        <w:spacing w:before="120" w:after="120"/>
        <w:jc w:val="both"/>
        <w:rPr>
          <w:rFonts w:ascii="Calibri" w:eastAsia="Calibri" w:hAnsi="Calibri" w:cs="Calibri"/>
          <w:sz w:val="22"/>
          <w:szCs w:val="22"/>
        </w:rPr>
      </w:pPr>
      <w:r w:rsidRPr="007F5415">
        <w:rPr>
          <w:rFonts w:ascii="Calibri" w:eastAsia="Calibri" w:hAnsi="Calibri" w:cs="Calibri"/>
          <w:sz w:val="22"/>
          <w:szCs w:val="22"/>
        </w:rPr>
        <w:t xml:space="preserve">The Council has adopted arrangements under which allegations of misconduct are investigated and </w:t>
      </w:r>
      <w:r w:rsidRPr="00665AED">
        <w:rPr>
          <w:rFonts w:ascii="Calibri" w:eastAsia="Calibri" w:hAnsi="Calibri" w:cs="Calibri"/>
          <w:sz w:val="22"/>
          <w:szCs w:val="22"/>
        </w:rPr>
        <w:t>under which decisions on allegations can be made. They arrangements are regularly reviewed, and any amendments made by the Council are reflected in the Council’s Constitution. The number of complaints in 20</w:t>
      </w:r>
      <w:r w:rsidR="00E90EB3" w:rsidRPr="00665AED">
        <w:rPr>
          <w:rFonts w:ascii="Calibri" w:eastAsia="Calibri" w:hAnsi="Calibri" w:cs="Calibri"/>
          <w:sz w:val="22"/>
          <w:szCs w:val="22"/>
        </w:rPr>
        <w:t>20</w:t>
      </w:r>
      <w:r w:rsidRPr="00665AED">
        <w:rPr>
          <w:rFonts w:ascii="Calibri" w:eastAsia="Calibri" w:hAnsi="Calibri" w:cs="Calibri"/>
          <w:sz w:val="22"/>
          <w:szCs w:val="22"/>
        </w:rPr>
        <w:t>/2</w:t>
      </w:r>
      <w:r w:rsidR="00E90EB3" w:rsidRPr="00665AED">
        <w:rPr>
          <w:rFonts w:ascii="Calibri" w:eastAsia="Calibri" w:hAnsi="Calibri" w:cs="Calibri"/>
          <w:sz w:val="22"/>
          <w:szCs w:val="22"/>
        </w:rPr>
        <w:t>1</w:t>
      </w:r>
      <w:r w:rsidRPr="00665AED">
        <w:rPr>
          <w:rFonts w:ascii="Calibri" w:eastAsia="Calibri" w:hAnsi="Calibri" w:cs="Calibri"/>
          <w:sz w:val="22"/>
          <w:szCs w:val="22"/>
        </w:rPr>
        <w:t xml:space="preserve"> compared with 20</w:t>
      </w:r>
      <w:r w:rsidR="00E90EB3" w:rsidRPr="00665AED">
        <w:rPr>
          <w:rFonts w:ascii="Calibri" w:eastAsia="Calibri" w:hAnsi="Calibri" w:cs="Calibri"/>
          <w:sz w:val="22"/>
          <w:szCs w:val="22"/>
        </w:rPr>
        <w:t>19</w:t>
      </w:r>
      <w:r w:rsidRPr="00665AED">
        <w:rPr>
          <w:rFonts w:ascii="Calibri" w:eastAsia="Calibri" w:hAnsi="Calibri" w:cs="Calibri"/>
          <w:sz w:val="22"/>
          <w:szCs w:val="22"/>
        </w:rPr>
        <w:t>/</w:t>
      </w:r>
      <w:r w:rsidR="00E90EB3" w:rsidRPr="00665AED">
        <w:rPr>
          <w:rFonts w:ascii="Calibri" w:eastAsia="Calibri" w:hAnsi="Calibri" w:cs="Calibri"/>
          <w:sz w:val="22"/>
          <w:szCs w:val="22"/>
        </w:rPr>
        <w:t>20</w:t>
      </w:r>
      <w:r w:rsidRPr="00665AED">
        <w:rPr>
          <w:rFonts w:ascii="Calibri" w:eastAsia="Calibri" w:hAnsi="Calibri" w:cs="Calibri"/>
          <w:sz w:val="22"/>
          <w:szCs w:val="22"/>
        </w:rPr>
        <w:t xml:space="preserve"> </w:t>
      </w:r>
      <w:r w:rsidR="00665AED" w:rsidRPr="00665AED">
        <w:rPr>
          <w:rFonts w:ascii="Calibri" w:eastAsia="Calibri" w:hAnsi="Calibri" w:cs="Calibri"/>
          <w:sz w:val="22"/>
          <w:szCs w:val="22"/>
        </w:rPr>
        <w:t>are</w:t>
      </w:r>
      <w:r w:rsidRPr="00665AED">
        <w:rPr>
          <w:rFonts w:ascii="Calibri" w:eastAsia="Calibri" w:hAnsi="Calibri" w:cs="Calibri"/>
          <w:sz w:val="22"/>
          <w:szCs w:val="22"/>
        </w:rPr>
        <w:t xml:space="preserve"> shown below:</w:t>
      </w:r>
    </w:p>
    <w:tbl>
      <w:tblPr>
        <w:tblStyle w:val="TableGrid1"/>
        <w:tblW w:w="0" w:type="auto"/>
        <w:tblLayout w:type="fixed"/>
        <w:tblLook w:val="04A0" w:firstRow="1" w:lastRow="0" w:firstColumn="1" w:lastColumn="0" w:noHBand="0" w:noVBand="1"/>
      </w:tblPr>
      <w:tblGrid>
        <w:gridCol w:w="2830"/>
        <w:gridCol w:w="1843"/>
        <w:gridCol w:w="992"/>
        <w:gridCol w:w="1090"/>
        <w:gridCol w:w="904"/>
      </w:tblGrid>
      <w:tr w:rsidR="00253D21" w:rsidRPr="00665AED" w:rsidTr="003247EA">
        <w:tc>
          <w:tcPr>
            <w:tcW w:w="2830" w:type="dxa"/>
            <w:vMerge w:val="restart"/>
          </w:tcPr>
          <w:p w:rsidR="00253D21" w:rsidRPr="00665AED" w:rsidRDefault="00253D21" w:rsidP="003247EA">
            <w:pPr>
              <w:rPr>
                <w:rFonts w:ascii="Calibri" w:hAnsi="Calibri"/>
                <w:noProof/>
                <w:sz w:val="4"/>
                <w:szCs w:val="4"/>
                <w:lang w:eastAsia="en-GB"/>
              </w:rPr>
            </w:pPr>
          </w:p>
          <w:p w:rsidR="00253D21" w:rsidRPr="00665AED" w:rsidRDefault="00253D21" w:rsidP="003247EA">
            <w:pPr>
              <w:rPr>
                <w:rFonts w:ascii="Calibri" w:hAnsi="Calibri"/>
                <w:sz w:val="22"/>
                <w:szCs w:val="22"/>
              </w:rPr>
            </w:pPr>
            <w:r w:rsidRPr="00665AED">
              <w:rPr>
                <w:rFonts w:ascii="Calibri" w:hAnsi="Calibri"/>
                <w:noProof/>
                <w:sz w:val="22"/>
                <w:szCs w:val="22"/>
                <w:lang w:eastAsia="en-GB"/>
              </w:rPr>
              <w:drawing>
                <wp:inline distT="0" distB="0" distL="0" distR="0" wp14:anchorId="35D5C6F7" wp14:editId="653ECC8B">
                  <wp:extent cx="1659890" cy="14001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9890" cy="1400175"/>
                          </a:xfrm>
                          <a:prstGeom prst="rect">
                            <a:avLst/>
                          </a:prstGeom>
                        </pic:spPr>
                      </pic:pic>
                    </a:graphicData>
                  </a:graphic>
                </wp:inline>
              </w:drawing>
            </w:r>
          </w:p>
        </w:tc>
        <w:tc>
          <w:tcPr>
            <w:tcW w:w="1843" w:type="dxa"/>
            <w:tcBorders>
              <w:bottom w:val="single" w:sz="4" w:space="0" w:color="auto"/>
            </w:tcBorders>
          </w:tcPr>
          <w:p w:rsidR="00253D21" w:rsidRPr="00665AED" w:rsidRDefault="00253D21" w:rsidP="003247EA">
            <w:pPr>
              <w:jc w:val="center"/>
              <w:rPr>
                <w:rFonts w:ascii="Calibri" w:hAnsi="Calibri"/>
                <w:b/>
                <w:sz w:val="22"/>
                <w:szCs w:val="22"/>
              </w:rPr>
            </w:pPr>
            <w:r w:rsidRPr="00665AED">
              <w:rPr>
                <w:rFonts w:ascii="Calibri" w:hAnsi="Calibri"/>
                <w:b/>
                <w:sz w:val="22"/>
                <w:szCs w:val="22"/>
              </w:rPr>
              <w:t>Area</w:t>
            </w:r>
          </w:p>
        </w:tc>
        <w:tc>
          <w:tcPr>
            <w:tcW w:w="992" w:type="dxa"/>
            <w:tcBorders>
              <w:bottom w:val="single" w:sz="4" w:space="0" w:color="auto"/>
            </w:tcBorders>
            <w:shd w:val="clear" w:color="auto" w:fill="F7CAAC"/>
          </w:tcPr>
          <w:p w:rsidR="00253D21" w:rsidRPr="00665AED" w:rsidRDefault="00253D21" w:rsidP="00E90EB3">
            <w:pPr>
              <w:jc w:val="center"/>
              <w:rPr>
                <w:rFonts w:ascii="Calibri" w:hAnsi="Calibri"/>
                <w:b/>
                <w:sz w:val="22"/>
                <w:szCs w:val="22"/>
              </w:rPr>
            </w:pPr>
            <w:r w:rsidRPr="00665AED">
              <w:rPr>
                <w:rFonts w:ascii="Calibri" w:hAnsi="Calibri"/>
                <w:b/>
                <w:sz w:val="22"/>
                <w:szCs w:val="22"/>
              </w:rPr>
              <w:t>201</w:t>
            </w:r>
            <w:r w:rsidR="00E90EB3" w:rsidRPr="00665AED">
              <w:rPr>
                <w:rFonts w:ascii="Calibri" w:hAnsi="Calibri"/>
                <w:b/>
                <w:sz w:val="22"/>
                <w:szCs w:val="22"/>
              </w:rPr>
              <w:t>9</w:t>
            </w:r>
            <w:r w:rsidRPr="00665AED">
              <w:rPr>
                <w:rFonts w:ascii="Calibri" w:hAnsi="Calibri"/>
                <w:b/>
                <w:sz w:val="22"/>
                <w:szCs w:val="22"/>
              </w:rPr>
              <w:t>/</w:t>
            </w:r>
            <w:r w:rsidR="00E90EB3" w:rsidRPr="00665AED">
              <w:rPr>
                <w:rFonts w:ascii="Calibri" w:hAnsi="Calibri"/>
                <w:b/>
                <w:sz w:val="22"/>
                <w:szCs w:val="22"/>
              </w:rPr>
              <w:t>20</w:t>
            </w:r>
          </w:p>
        </w:tc>
        <w:tc>
          <w:tcPr>
            <w:tcW w:w="1090" w:type="dxa"/>
            <w:tcBorders>
              <w:bottom w:val="single" w:sz="4" w:space="0" w:color="auto"/>
            </w:tcBorders>
            <w:shd w:val="clear" w:color="auto" w:fill="C5E0B3"/>
          </w:tcPr>
          <w:p w:rsidR="00253D21" w:rsidRPr="00665AED" w:rsidRDefault="00253D21" w:rsidP="00E90EB3">
            <w:pPr>
              <w:jc w:val="center"/>
              <w:rPr>
                <w:rFonts w:ascii="Calibri" w:hAnsi="Calibri"/>
                <w:b/>
                <w:sz w:val="22"/>
                <w:szCs w:val="22"/>
              </w:rPr>
            </w:pPr>
            <w:r w:rsidRPr="00665AED">
              <w:rPr>
                <w:rFonts w:ascii="Calibri" w:hAnsi="Calibri"/>
                <w:b/>
                <w:sz w:val="22"/>
                <w:szCs w:val="22"/>
              </w:rPr>
              <w:t>20</w:t>
            </w:r>
            <w:r w:rsidR="00E90EB3" w:rsidRPr="00665AED">
              <w:rPr>
                <w:rFonts w:ascii="Calibri" w:hAnsi="Calibri"/>
                <w:b/>
                <w:sz w:val="22"/>
                <w:szCs w:val="22"/>
              </w:rPr>
              <w:t>20</w:t>
            </w:r>
            <w:r w:rsidRPr="00665AED">
              <w:rPr>
                <w:rFonts w:ascii="Calibri" w:hAnsi="Calibri"/>
                <w:b/>
                <w:sz w:val="22"/>
                <w:szCs w:val="22"/>
              </w:rPr>
              <w:t>/2</w:t>
            </w:r>
            <w:r w:rsidR="00E90EB3" w:rsidRPr="00665AED">
              <w:rPr>
                <w:rFonts w:ascii="Calibri" w:hAnsi="Calibri"/>
                <w:b/>
                <w:sz w:val="22"/>
                <w:szCs w:val="22"/>
              </w:rPr>
              <w:t>1</w:t>
            </w:r>
          </w:p>
        </w:tc>
        <w:tc>
          <w:tcPr>
            <w:tcW w:w="904" w:type="dxa"/>
            <w:tcBorders>
              <w:bottom w:val="single" w:sz="4" w:space="0" w:color="auto"/>
            </w:tcBorders>
          </w:tcPr>
          <w:p w:rsidR="00253D21" w:rsidRPr="00665AED" w:rsidRDefault="00253D21" w:rsidP="003247EA">
            <w:pPr>
              <w:jc w:val="center"/>
              <w:rPr>
                <w:rFonts w:ascii="Calibri" w:hAnsi="Calibri"/>
                <w:b/>
                <w:sz w:val="22"/>
                <w:szCs w:val="22"/>
              </w:rPr>
            </w:pPr>
            <w:r w:rsidRPr="00665AED">
              <w:rPr>
                <w:rFonts w:ascii="Calibri" w:hAnsi="Calibri"/>
                <w:b/>
                <w:sz w:val="22"/>
                <w:szCs w:val="22"/>
              </w:rPr>
              <w:t>Trend</w:t>
            </w:r>
          </w:p>
        </w:tc>
      </w:tr>
      <w:tr w:rsidR="00253D21" w:rsidRPr="007F5415" w:rsidTr="003247EA">
        <w:trPr>
          <w:trHeight w:val="2038"/>
        </w:trPr>
        <w:tc>
          <w:tcPr>
            <w:tcW w:w="2830" w:type="dxa"/>
            <w:vMerge/>
          </w:tcPr>
          <w:p w:rsidR="00253D21" w:rsidRPr="00665AED" w:rsidRDefault="00253D21" w:rsidP="003247EA">
            <w:pPr>
              <w:rPr>
                <w:rFonts w:ascii="Calibri" w:hAnsi="Calibri"/>
                <w:sz w:val="22"/>
                <w:szCs w:val="22"/>
              </w:rPr>
            </w:pPr>
          </w:p>
        </w:tc>
        <w:tc>
          <w:tcPr>
            <w:tcW w:w="1843" w:type="dxa"/>
            <w:vAlign w:val="center"/>
          </w:tcPr>
          <w:p w:rsidR="00253D21" w:rsidRPr="00665AED" w:rsidRDefault="00253D21" w:rsidP="003247EA">
            <w:pPr>
              <w:rPr>
                <w:rFonts w:ascii="Calibri" w:hAnsi="Calibri"/>
                <w:b/>
                <w:sz w:val="22"/>
                <w:szCs w:val="22"/>
              </w:rPr>
            </w:pPr>
            <w:r w:rsidRPr="00665AED">
              <w:rPr>
                <w:rFonts w:ascii="Calibri" w:hAnsi="Calibri"/>
                <w:b/>
                <w:sz w:val="22"/>
                <w:szCs w:val="22"/>
              </w:rPr>
              <w:t>Member Complaints</w:t>
            </w:r>
          </w:p>
        </w:tc>
        <w:tc>
          <w:tcPr>
            <w:tcW w:w="992" w:type="dxa"/>
            <w:shd w:val="clear" w:color="auto" w:fill="F7CAAC"/>
            <w:vAlign w:val="center"/>
          </w:tcPr>
          <w:p w:rsidR="00253D21" w:rsidRPr="00665AED" w:rsidRDefault="00253D21" w:rsidP="003247EA">
            <w:pPr>
              <w:jc w:val="right"/>
              <w:rPr>
                <w:rFonts w:ascii="Calibri" w:hAnsi="Calibri"/>
                <w:b/>
                <w:sz w:val="22"/>
                <w:szCs w:val="22"/>
              </w:rPr>
            </w:pPr>
            <w:r w:rsidRPr="00665AED">
              <w:rPr>
                <w:rFonts w:ascii="Calibri" w:hAnsi="Calibri"/>
                <w:b/>
                <w:sz w:val="22"/>
                <w:szCs w:val="22"/>
              </w:rPr>
              <w:t>3</w:t>
            </w:r>
          </w:p>
        </w:tc>
        <w:tc>
          <w:tcPr>
            <w:tcW w:w="1090" w:type="dxa"/>
            <w:shd w:val="clear" w:color="auto" w:fill="C5E0B3"/>
            <w:vAlign w:val="center"/>
          </w:tcPr>
          <w:p w:rsidR="00665AED" w:rsidRPr="00665AED" w:rsidRDefault="00665AED" w:rsidP="00665AED">
            <w:pPr>
              <w:jc w:val="right"/>
              <w:rPr>
                <w:rFonts w:ascii="Calibri" w:hAnsi="Calibri"/>
                <w:b/>
                <w:sz w:val="22"/>
                <w:szCs w:val="22"/>
              </w:rPr>
            </w:pPr>
            <w:r w:rsidRPr="00665AED">
              <w:rPr>
                <w:rFonts w:ascii="Calibri" w:hAnsi="Calibri"/>
                <w:b/>
                <w:sz w:val="22"/>
                <w:szCs w:val="22"/>
              </w:rPr>
              <w:t>3</w:t>
            </w:r>
          </w:p>
        </w:tc>
        <w:tc>
          <w:tcPr>
            <w:tcW w:w="904" w:type="dxa"/>
            <w:vAlign w:val="center"/>
          </w:tcPr>
          <w:p w:rsidR="00253D21" w:rsidRPr="00665AED" w:rsidRDefault="00253D21" w:rsidP="003247EA">
            <w:pPr>
              <w:jc w:val="center"/>
              <w:rPr>
                <w:rFonts w:ascii="Calibri" w:hAnsi="Calibri"/>
                <w:b/>
                <w:sz w:val="22"/>
                <w:szCs w:val="22"/>
              </w:rPr>
            </w:pPr>
            <w:r w:rsidRPr="00665AED">
              <w:rPr>
                <w:rFonts w:cs="Arial"/>
                <w:noProof/>
                <w:color w:val="FFFFFF"/>
                <w:sz w:val="20"/>
                <w:szCs w:val="20"/>
                <w:lang w:eastAsia="en-GB"/>
              </w:rPr>
              <w:drawing>
                <wp:inline distT="0" distB="0" distL="0" distR="0" wp14:anchorId="3539D008" wp14:editId="05EE8D17">
                  <wp:extent cx="409575" cy="361950"/>
                  <wp:effectExtent l="4763" t="0" r="0" b="0"/>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flipV="1">
                            <a:off x="0" y="0"/>
                            <a:ext cx="409575" cy="361950"/>
                          </a:xfrm>
                          <a:prstGeom prst="rect">
                            <a:avLst/>
                          </a:prstGeom>
                          <a:noFill/>
                          <a:ln>
                            <a:noFill/>
                          </a:ln>
                        </pic:spPr>
                      </pic:pic>
                    </a:graphicData>
                  </a:graphic>
                </wp:inline>
              </w:drawing>
            </w:r>
          </w:p>
        </w:tc>
      </w:tr>
    </w:tbl>
    <w:p w:rsidR="006C7E67" w:rsidRPr="00665AED" w:rsidRDefault="00253D21" w:rsidP="00253D21">
      <w:pPr>
        <w:spacing w:before="120" w:after="120"/>
        <w:jc w:val="both"/>
        <w:rPr>
          <w:rFonts w:ascii="Calibri" w:eastAsia="Calibri" w:hAnsi="Calibri" w:cs="Calibri"/>
          <w:sz w:val="22"/>
          <w:szCs w:val="22"/>
        </w:rPr>
      </w:pPr>
      <w:r w:rsidRPr="00665AED">
        <w:rPr>
          <w:rFonts w:ascii="Calibri" w:hAnsi="Calibri" w:cs="Calibri"/>
          <w:sz w:val="22"/>
          <w:szCs w:val="22"/>
        </w:rPr>
        <w:t xml:space="preserve">The relatively low number of complaints regarding behaviour demonstrates that the standards are understood and adhered to. Of the three, </w:t>
      </w:r>
      <w:r w:rsidR="00665AED" w:rsidRPr="00665AED">
        <w:rPr>
          <w:rFonts w:ascii="Calibri" w:hAnsi="Calibri" w:cs="Calibri"/>
          <w:sz w:val="22"/>
          <w:szCs w:val="22"/>
        </w:rPr>
        <w:t>one</w:t>
      </w:r>
      <w:r w:rsidRPr="00665AED">
        <w:rPr>
          <w:rFonts w:ascii="Calibri" w:hAnsi="Calibri" w:cs="Calibri"/>
          <w:sz w:val="22"/>
          <w:szCs w:val="22"/>
        </w:rPr>
        <w:t xml:space="preserve"> w</w:t>
      </w:r>
      <w:r w:rsidR="00665AED" w:rsidRPr="00665AED">
        <w:rPr>
          <w:rFonts w:ascii="Calibri" w:hAnsi="Calibri" w:cs="Calibri"/>
          <w:sz w:val="22"/>
          <w:szCs w:val="22"/>
        </w:rPr>
        <w:t>as</w:t>
      </w:r>
      <w:r w:rsidRPr="00665AED">
        <w:rPr>
          <w:rFonts w:ascii="Calibri" w:hAnsi="Calibri" w:cs="Calibri"/>
          <w:sz w:val="22"/>
          <w:szCs w:val="22"/>
        </w:rPr>
        <w:t xml:space="preserve"> resolved by other action and the </w:t>
      </w:r>
      <w:r w:rsidR="00665AED" w:rsidRPr="00665AED">
        <w:rPr>
          <w:rFonts w:ascii="Calibri" w:hAnsi="Calibri" w:cs="Calibri"/>
          <w:sz w:val="22"/>
          <w:szCs w:val="22"/>
        </w:rPr>
        <w:t>other two</w:t>
      </w:r>
      <w:r w:rsidRPr="00665AED">
        <w:rPr>
          <w:rFonts w:ascii="Calibri" w:hAnsi="Calibri" w:cs="Calibri"/>
          <w:sz w:val="22"/>
          <w:szCs w:val="22"/>
        </w:rPr>
        <w:t xml:space="preserve">, following </w:t>
      </w:r>
      <w:r w:rsidRPr="00665AED">
        <w:rPr>
          <w:rFonts w:ascii="Calibri" w:eastAsia="Calibri" w:hAnsi="Calibri" w:cs="Calibri"/>
          <w:sz w:val="22"/>
          <w:szCs w:val="22"/>
        </w:rPr>
        <w:t>initial investigation, w</w:t>
      </w:r>
      <w:r w:rsidR="00665AED" w:rsidRPr="00665AED">
        <w:rPr>
          <w:rFonts w:ascii="Calibri" w:eastAsia="Calibri" w:hAnsi="Calibri" w:cs="Calibri"/>
          <w:sz w:val="22"/>
          <w:szCs w:val="22"/>
        </w:rPr>
        <w:t>ere</w:t>
      </w:r>
      <w:r w:rsidRPr="00665AED">
        <w:rPr>
          <w:rFonts w:ascii="Calibri" w:eastAsia="Calibri" w:hAnsi="Calibri" w:cs="Calibri"/>
          <w:sz w:val="22"/>
          <w:szCs w:val="22"/>
        </w:rPr>
        <w:t xml:space="preserve"> resolved informally</w:t>
      </w:r>
    </w:p>
    <w:p w:rsidR="00253D21" w:rsidRPr="007F5415" w:rsidRDefault="00253D21" w:rsidP="00253D21">
      <w:pPr>
        <w:spacing w:before="120" w:after="120"/>
        <w:jc w:val="both"/>
        <w:rPr>
          <w:rFonts w:ascii="Calibri" w:eastAsia="Calibri" w:hAnsi="Calibri" w:cs="Calibri"/>
          <w:sz w:val="22"/>
          <w:szCs w:val="22"/>
        </w:rPr>
      </w:pPr>
      <w:r w:rsidRPr="00665AED">
        <w:rPr>
          <w:rFonts w:ascii="Calibri" w:eastAsia="Calibri" w:hAnsi="Calibri" w:cs="Calibri"/>
          <w:sz w:val="22"/>
          <w:szCs w:val="22"/>
        </w:rPr>
        <w:t>Communication on standards of behaviour is also facilitated</w:t>
      </w:r>
      <w:r w:rsidRPr="007F5415">
        <w:rPr>
          <w:rFonts w:ascii="Calibri" w:eastAsia="Calibri" w:hAnsi="Calibri" w:cs="Calibri"/>
          <w:sz w:val="22"/>
          <w:szCs w:val="22"/>
        </w:rPr>
        <w:t xml:space="preserve"> through the Council’s Employee Liaison</w:t>
      </w:r>
      <w:r w:rsidRPr="007F5415">
        <w:rPr>
          <w:rFonts w:ascii="Calibri" w:hAnsi="Calibri" w:cs="Calibri"/>
          <w:sz w:val="22"/>
          <w:szCs w:val="22"/>
        </w:rPr>
        <w:t xml:space="preserve"> Group, with regular meetings with representatives of employees through which we have built sound </w:t>
      </w:r>
      <w:r w:rsidRPr="007F5415">
        <w:rPr>
          <w:rFonts w:ascii="Calibri" w:eastAsia="Calibri" w:hAnsi="Calibri" w:cs="Calibri"/>
          <w:sz w:val="22"/>
          <w:szCs w:val="22"/>
        </w:rPr>
        <w:t>management-employee relationships.</w:t>
      </w:r>
    </w:p>
    <w:p w:rsidR="00253D21" w:rsidRPr="007F5415" w:rsidRDefault="00253D21" w:rsidP="00253D21">
      <w:pPr>
        <w:spacing w:before="120" w:after="120"/>
        <w:jc w:val="both"/>
        <w:rPr>
          <w:rFonts w:ascii="Calibri" w:eastAsia="Calibri" w:hAnsi="Calibri" w:cs="Calibri"/>
          <w:sz w:val="22"/>
          <w:szCs w:val="22"/>
        </w:rPr>
      </w:pPr>
      <w:r w:rsidRPr="007F5415">
        <w:rPr>
          <w:rFonts w:ascii="Calibri" w:eastAsia="Calibri" w:hAnsi="Calibri" w:cs="Calibri"/>
          <w:sz w:val="22"/>
          <w:szCs w:val="22"/>
        </w:rPr>
        <w:t>The ethos of the Paid Service is that officers serve all of the Council. Issues associated with the development</w:t>
      </w:r>
      <w:r w:rsidRPr="007F5415">
        <w:rPr>
          <w:rFonts w:ascii="Calibri" w:hAnsi="Calibri" w:cs="Calibri"/>
          <w:sz w:val="22"/>
          <w:szCs w:val="22"/>
        </w:rPr>
        <w:t xml:space="preserve"> of the Governance Framework are regularly discussed by Leadership Team at their </w:t>
      </w:r>
      <w:r w:rsidRPr="007F5415">
        <w:rPr>
          <w:rFonts w:ascii="Calibri" w:eastAsia="Calibri" w:hAnsi="Calibri" w:cs="Calibri"/>
          <w:sz w:val="22"/>
          <w:szCs w:val="22"/>
        </w:rPr>
        <w:t xml:space="preserve">meetings. </w:t>
      </w:r>
    </w:p>
    <w:p w:rsidR="00D35736" w:rsidRPr="00D35736" w:rsidRDefault="00253D21" w:rsidP="00D35736">
      <w:pPr>
        <w:spacing w:before="120" w:after="120"/>
        <w:jc w:val="both"/>
        <w:rPr>
          <w:rFonts w:ascii="Calibri" w:eastAsia="Calibri" w:hAnsi="Calibri" w:cs="Calibri"/>
          <w:sz w:val="22"/>
          <w:szCs w:val="22"/>
        </w:rPr>
      </w:pPr>
      <w:r w:rsidRPr="00973F9E">
        <w:rPr>
          <w:rFonts w:ascii="Calibri" w:eastAsia="Calibri" w:hAnsi="Calibri" w:cs="Calibri"/>
          <w:sz w:val="22"/>
          <w:szCs w:val="22"/>
        </w:rPr>
        <w:t xml:space="preserve">Communicating the expected standards to employees is undertaken through leading by example by managers from the top (which is a specific requirement in the job description of the Chief Executive and Heads of </w:t>
      </w:r>
      <w:r w:rsidRPr="00D35736">
        <w:rPr>
          <w:rFonts w:ascii="Calibri" w:eastAsia="Calibri" w:hAnsi="Calibri" w:cs="Calibri"/>
          <w:sz w:val="22"/>
          <w:szCs w:val="22"/>
        </w:rPr>
        <w:t xml:space="preserve">Service), </w:t>
      </w:r>
      <w:r w:rsidR="00D35736" w:rsidRPr="00D35736">
        <w:rPr>
          <w:rFonts w:ascii="Calibri" w:eastAsia="Calibri" w:hAnsi="Calibri" w:cs="Calibri"/>
          <w:sz w:val="22"/>
          <w:szCs w:val="22"/>
        </w:rPr>
        <w:t>a competency framework, reinforced through discussion and training, and a supportive management environment which makes clear to customers that unacceptable behaviour towards employees will not be tolerated.</w:t>
      </w:r>
    </w:p>
    <w:p w:rsidR="00253D21" w:rsidRPr="00973F9E" w:rsidRDefault="00253D21" w:rsidP="00253D21">
      <w:pPr>
        <w:spacing w:before="120" w:after="120"/>
        <w:jc w:val="both"/>
        <w:rPr>
          <w:rFonts w:ascii="Calibri" w:hAnsi="Calibri" w:cs="Calibri"/>
          <w:sz w:val="22"/>
          <w:szCs w:val="22"/>
        </w:rPr>
      </w:pPr>
      <w:r w:rsidRPr="00D35736">
        <w:rPr>
          <w:rFonts w:ascii="Calibri" w:eastAsia="Calibri" w:hAnsi="Calibri" w:cs="Calibri"/>
          <w:sz w:val="22"/>
          <w:szCs w:val="22"/>
        </w:rPr>
        <w:t>The Council has a Code of Conduct for employees which was approved</w:t>
      </w:r>
      <w:r w:rsidRPr="00E90EB3">
        <w:rPr>
          <w:rFonts w:ascii="Calibri" w:eastAsia="Calibri" w:hAnsi="Calibri" w:cs="Calibri"/>
          <w:sz w:val="22"/>
          <w:szCs w:val="22"/>
        </w:rPr>
        <w:t xml:space="preserve"> by Employment Committee </w:t>
      </w:r>
      <w:r w:rsidR="001F7DBE">
        <w:rPr>
          <w:rFonts w:ascii="Calibri" w:eastAsia="Calibri" w:hAnsi="Calibri" w:cs="Calibri"/>
          <w:sz w:val="22"/>
          <w:szCs w:val="22"/>
        </w:rPr>
        <w:t>in</w:t>
      </w:r>
      <w:r w:rsidRPr="00E90EB3">
        <w:rPr>
          <w:rFonts w:ascii="Calibri" w:hAnsi="Calibri" w:cs="Calibri"/>
          <w:sz w:val="22"/>
          <w:szCs w:val="22"/>
        </w:rPr>
        <w:t xml:space="preserve"> February 2017, Full Council </w:t>
      </w:r>
      <w:r w:rsidR="001F7DBE">
        <w:rPr>
          <w:rFonts w:ascii="Calibri" w:hAnsi="Calibri" w:cs="Calibri"/>
          <w:sz w:val="22"/>
          <w:szCs w:val="22"/>
        </w:rPr>
        <w:t xml:space="preserve">in </w:t>
      </w:r>
      <w:r w:rsidRPr="00E90EB3">
        <w:rPr>
          <w:rFonts w:ascii="Calibri" w:hAnsi="Calibri" w:cs="Calibri"/>
          <w:sz w:val="22"/>
          <w:szCs w:val="22"/>
        </w:rPr>
        <w:t xml:space="preserve">21 February 2017 and updated </w:t>
      </w:r>
      <w:r w:rsidR="001F7DBE">
        <w:rPr>
          <w:rFonts w:ascii="Calibri" w:hAnsi="Calibri" w:cs="Calibri"/>
          <w:sz w:val="22"/>
          <w:szCs w:val="22"/>
        </w:rPr>
        <w:t xml:space="preserve">in </w:t>
      </w:r>
      <w:r w:rsidRPr="00E90EB3">
        <w:rPr>
          <w:rFonts w:ascii="Calibri" w:hAnsi="Calibri" w:cs="Calibri"/>
          <w:sz w:val="22"/>
          <w:szCs w:val="22"/>
        </w:rPr>
        <w:t>February 2018. A copy can be found on the Authority’s Intranet. This Code sets out the principles, behaviours and</w:t>
      </w:r>
      <w:r w:rsidRPr="00973F9E">
        <w:rPr>
          <w:rFonts w:ascii="Calibri" w:hAnsi="Calibri" w:cs="Calibri"/>
          <w:sz w:val="22"/>
          <w:szCs w:val="22"/>
        </w:rPr>
        <w:t xml:space="preserve"> standards expected of employees in a single document. </w:t>
      </w:r>
    </w:p>
    <w:p w:rsidR="00253D21" w:rsidRPr="00973F9E" w:rsidRDefault="00253D21" w:rsidP="00253D21">
      <w:pPr>
        <w:spacing w:before="120" w:after="120"/>
        <w:jc w:val="both"/>
        <w:rPr>
          <w:rFonts w:ascii="Calibri" w:hAnsi="Calibri" w:cs="Calibri"/>
          <w:sz w:val="22"/>
          <w:szCs w:val="22"/>
        </w:rPr>
      </w:pPr>
      <w:r w:rsidRPr="00973F9E">
        <w:rPr>
          <w:rFonts w:ascii="Calibri" w:hAnsi="Calibri" w:cs="Calibri"/>
          <w:sz w:val="22"/>
          <w:szCs w:val="22"/>
        </w:rPr>
        <w:t>The Code is supported and reinforced by our three core organisational values that all our staff and Members work towards. These are:</w:t>
      </w:r>
    </w:p>
    <w:p w:rsidR="00253D21" w:rsidRPr="00CB35AD" w:rsidRDefault="00253D21" w:rsidP="00CB35AD">
      <w:pPr>
        <w:numPr>
          <w:ilvl w:val="0"/>
          <w:numId w:val="13"/>
        </w:numPr>
        <w:spacing w:before="120" w:after="120" w:line="252" w:lineRule="auto"/>
        <w:contextualSpacing/>
        <w:rPr>
          <w:rFonts w:ascii="Calibri" w:eastAsiaTheme="minorHAnsi" w:hAnsi="Calibri" w:cs="Calibri"/>
          <w:sz w:val="22"/>
          <w:szCs w:val="22"/>
        </w:rPr>
      </w:pPr>
      <w:r w:rsidRPr="00CB35AD">
        <w:rPr>
          <w:rFonts w:ascii="Calibri" w:eastAsiaTheme="minorHAnsi" w:hAnsi="Calibri" w:cs="Calibri"/>
          <w:sz w:val="22"/>
          <w:szCs w:val="22"/>
        </w:rPr>
        <w:t>Put customers first</w:t>
      </w:r>
    </w:p>
    <w:p w:rsidR="00253D21" w:rsidRPr="00CB35AD" w:rsidRDefault="00253D21" w:rsidP="00CB35AD">
      <w:pPr>
        <w:numPr>
          <w:ilvl w:val="0"/>
          <w:numId w:val="13"/>
        </w:numPr>
        <w:spacing w:before="120" w:after="120" w:line="252" w:lineRule="auto"/>
        <w:contextualSpacing/>
        <w:rPr>
          <w:rFonts w:ascii="Calibri" w:eastAsiaTheme="minorHAnsi" w:hAnsi="Calibri" w:cs="Calibri"/>
          <w:sz w:val="22"/>
          <w:szCs w:val="22"/>
        </w:rPr>
      </w:pPr>
      <w:r w:rsidRPr="00CB35AD">
        <w:rPr>
          <w:rFonts w:ascii="Calibri" w:eastAsiaTheme="minorHAnsi" w:hAnsi="Calibri" w:cs="Calibri"/>
          <w:sz w:val="22"/>
          <w:szCs w:val="22"/>
        </w:rPr>
        <w:t>Improve and innovate</w:t>
      </w:r>
    </w:p>
    <w:p w:rsidR="00253D21" w:rsidRPr="00CB35AD" w:rsidRDefault="00253D21" w:rsidP="00CB35AD">
      <w:pPr>
        <w:numPr>
          <w:ilvl w:val="0"/>
          <w:numId w:val="13"/>
        </w:numPr>
        <w:spacing w:before="120" w:after="120" w:line="252" w:lineRule="auto"/>
        <w:contextualSpacing/>
        <w:rPr>
          <w:rFonts w:ascii="Calibri" w:eastAsiaTheme="minorHAnsi" w:hAnsi="Calibri" w:cs="Calibri"/>
          <w:sz w:val="22"/>
          <w:szCs w:val="22"/>
        </w:rPr>
      </w:pPr>
      <w:r w:rsidRPr="00CB35AD">
        <w:rPr>
          <w:rFonts w:ascii="Calibri" w:eastAsiaTheme="minorHAnsi" w:hAnsi="Calibri" w:cs="Calibri"/>
          <w:sz w:val="22"/>
          <w:szCs w:val="22"/>
        </w:rPr>
        <w:t>Have respect for everyone.</w:t>
      </w:r>
    </w:p>
    <w:p w:rsidR="00CB35AD" w:rsidRDefault="00CB35AD" w:rsidP="00253D21">
      <w:pPr>
        <w:spacing w:before="120" w:after="120"/>
        <w:jc w:val="both"/>
        <w:rPr>
          <w:rFonts w:ascii="Calibri" w:hAnsi="Calibri" w:cs="Calibri"/>
          <w:sz w:val="22"/>
          <w:szCs w:val="22"/>
        </w:rPr>
      </w:pPr>
    </w:p>
    <w:p w:rsidR="00253D21" w:rsidRPr="00973F9E" w:rsidRDefault="00253D21" w:rsidP="00253D21">
      <w:pPr>
        <w:spacing w:before="120" w:after="120"/>
        <w:jc w:val="both"/>
        <w:rPr>
          <w:rFonts w:ascii="Calibri" w:eastAsia="Calibri" w:hAnsi="Calibri" w:cs="Calibri"/>
          <w:sz w:val="22"/>
          <w:szCs w:val="22"/>
        </w:rPr>
      </w:pPr>
      <w:r w:rsidRPr="00973F9E">
        <w:rPr>
          <w:rFonts w:ascii="Calibri" w:hAnsi="Calibri" w:cs="Calibri"/>
          <w:sz w:val="22"/>
          <w:szCs w:val="22"/>
        </w:rPr>
        <w:t xml:space="preserve">They have been embedded into the Strategic Plan </w:t>
      </w:r>
      <w:r w:rsidR="00973F9E" w:rsidRPr="00973F9E">
        <w:rPr>
          <w:rFonts w:ascii="Calibri" w:hAnsi="Calibri" w:cs="Calibri"/>
          <w:sz w:val="22"/>
          <w:szCs w:val="22"/>
        </w:rPr>
        <w:t xml:space="preserve">2020-24 </w:t>
      </w:r>
      <w:r w:rsidRPr="00973F9E">
        <w:rPr>
          <w:rFonts w:ascii="Calibri" w:hAnsi="Calibri" w:cs="Calibri"/>
          <w:sz w:val="22"/>
          <w:szCs w:val="22"/>
        </w:rPr>
        <w:t>that took effect from 1 April 20</w:t>
      </w:r>
      <w:r w:rsidR="00973F9E" w:rsidRPr="00973F9E">
        <w:rPr>
          <w:rFonts w:ascii="Calibri" w:hAnsi="Calibri" w:cs="Calibri"/>
          <w:sz w:val="22"/>
          <w:szCs w:val="22"/>
        </w:rPr>
        <w:t>20</w:t>
      </w:r>
      <w:r w:rsidRPr="00973F9E">
        <w:rPr>
          <w:rFonts w:ascii="Calibri" w:hAnsi="Calibri" w:cs="Calibri"/>
          <w:sz w:val="22"/>
          <w:szCs w:val="22"/>
        </w:rPr>
        <w:t xml:space="preserve"> </w:t>
      </w:r>
      <w:r w:rsidRPr="00973F9E">
        <w:rPr>
          <w:rFonts w:ascii="Calibri" w:eastAsia="Calibri" w:hAnsi="Calibri" w:cs="Calibri"/>
          <w:sz w:val="22"/>
          <w:szCs w:val="22"/>
        </w:rPr>
        <w:t xml:space="preserve">(see Core Principle C). </w:t>
      </w:r>
    </w:p>
    <w:p w:rsidR="00253D21" w:rsidRPr="00973F9E" w:rsidRDefault="00253D21" w:rsidP="00253D21">
      <w:pPr>
        <w:spacing w:before="120" w:after="120"/>
        <w:jc w:val="both"/>
        <w:rPr>
          <w:rFonts w:ascii="Calibri" w:eastAsia="Calibri" w:hAnsi="Calibri" w:cs="Calibri"/>
          <w:sz w:val="22"/>
          <w:szCs w:val="22"/>
        </w:rPr>
      </w:pPr>
      <w:r w:rsidRPr="00973F9E">
        <w:rPr>
          <w:rFonts w:ascii="Calibri" w:eastAsia="Calibri" w:hAnsi="Calibri" w:cs="Calibri"/>
          <w:sz w:val="22"/>
          <w:szCs w:val="22"/>
        </w:rPr>
        <w:t>In order to reinforce the ‘put customers first’ value, the Council has a ‘Customer Promise’ which sets</w:t>
      </w:r>
      <w:r w:rsidRPr="00973F9E">
        <w:rPr>
          <w:rFonts w:ascii="Calibri" w:hAnsi="Calibri" w:cs="Calibri"/>
          <w:sz w:val="22"/>
          <w:szCs w:val="22"/>
        </w:rPr>
        <w:t xml:space="preserve"> out the corporate standards that customers can expect in our dealings with them and, equally, how </w:t>
      </w:r>
      <w:r w:rsidRPr="00973F9E">
        <w:rPr>
          <w:rFonts w:ascii="Calibri" w:eastAsia="Calibri" w:hAnsi="Calibri" w:cs="Calibri"/>
          <w:sz w:val="22"/>
          <w:szCs w:val="22"/>
        </w:rPr>
        <w:t xml:space="preserve">customers should treat our staff. </w:t>
      </w:r>
    </w:p>
    <w:p w:rsidR="00253D21" w:rsidRPr="00973F9E" w:rsidRDefault="00253D21" w:rsidP="00253D21">
      <w:pPr>
        <w:spacing w:before="120" w:after="120"/>
        <w:jc w:val="both"/>
        <w:rPr>
          <w:rFonts w:ascii="Calibri" w:eastAsia="Calibri" w:hAnsi="Calibri" w:cs="Calibri"/>
          <w:sz w:val="22"/>
          <w:szCs w:val="22"/>
        </w:rPr>
      </w:pPr>
      <w:r w:rsidRPr="00973F9E">
        <w:rPr>
          <w:rFonts w:ascii="Calibri" w:eastAsia="Calibri" w:hAnsi="Calibri" w:cs="Calibri"/>
          <w:sz w:val="22"/>
          <w:szCs w:val="22"/>
        </w:rPr>
        <w:t>The Code of Conduct is supported by a range of Human Resources policies and procedures,</w:t>
      </w:r>
      <w:r w:rsidRPr="00973F9E">
        <w:rPr>
          <w:rFonts w:ascii="Calibri" w:hAnsi="Calibri" w:cs="Calibri"/>
          <w:sz w:val="22"/>
          <w:szCs w:val="22"/>
        </w:rPr>
        <w:t xml:space="preserve"> </w:t>
      </w:r>
      <w:r w:rsidRPr="00973F9E">
        <w:rPr>
          <w:rFonts w:ascii="Calibri" w:eastAsia="Calibri" w:hAnsi="Calibri" w:cs="Calibri"/>
          <w:sz w:val="22"/>
          <w:szCs w:val="22"/>
        </w:rPr>
        <w:t xml:space="preserve">including: </w:t>
      </w:r>
    </w:p>
    <w:p w:rsidR="00253D21" w:rsidRPr="00CB35AD" w:rsidRDefault="00253D21" w:rsidP="00CB35AD">
      <w:pPr>
        <w:numPr>
          <w:ilvl w:val="0"/>
          <w:numId w:val="13"/>
        </w:numPr>
        <w:spacing w:before="120" w:after="120" w:line="252" w:lineRule="auto"/>
        <w:contextualSpacing/>
        <w:rPr>
          <w:rFonts w:ascii="Calibri" w:eastAsiaTheme="minorHAnsi" w:hAnsi="Calibri" w:cs="Calibri"/>
          <w:sz w:val="22"/>
          <w:szCs w:val="22"/>
        </w:rPr>
      </w:pPr>
      <w:r w:rsidRPr="00CB35AD">
        <w:rPr>
          <w:rFonts w:ascii="Calibri" w:eastAsiaTheme="minorHAnsi" w:hAnsi="Calibri" w:cs="Calibri"/>
          <w:sz w:val="22"/>
          <w:szCs w:val="22"/>
        </w:rPr>
        <w:t>Disciplinary Policy and Procedure</w:t>
      </w:r>
    </w:p>
    <w:p w:rsidR="00253D21" w:rsidRPr="00CB35AD" w:rsidRDefault="00253D21" w:rsidP="00CB35AD">
      <w:pPr>
        <w:numPr>
          <w:ilvl w:val="0"/>
          <w:numId w:val="13"/>
        </w:numPr>
        <w:spacing w:before="120" w:after="120" w:line="252" w:lineRule="auto"/>
        <w:contextualSpacing/>
        <w:rPr>
          <w:rFonts w:ascii="Calibri" w:eastAsiaTheme="minorHAnsi" w:hAnsi="Calibri" w:cs="Calibri"/>
          <w:sz w:val="22"/>
          <w:szCs w:val="22"/>
        </w:rPr>
      </w:pPr>
      <w:r w:rsidRPr="00CB35AD">
        <w:rPr>
          <w:rFonts w:ascii="Calibri" w:eastAsiaTheme="minorHAnsi" w:hAnsi="Calibri" w:cs="Calibri"/>
          <w:sz w:val="22"/>
          <w:szCs w:val="22"/>
        </w:rPr>
        <w:lastRenderedPageBreak/>
        <w:t>Grievance Policy and Procedure (incorporating bullying and harassment)</w:t>
      </w:r>
    </w:p>
    <w:p w:rsidR="00253D21" w:rsidRPr="00CB35AD" w:rsidRDefault="00253D21" w:rsidP="00CB35AD">
      <w:pPr>
        <w:numPr>
          <w:ilvl w:val="0"/>
          <w:numId w:val="13"/>
        </w:numPr>
        <w:spacing w:before="120" w:after="120" w:line="252" w:lineRule="auto"/>
        <w:contextualSpacing/>
        <w:rPr>
          <w:rFonts w:ascii="Calibri" w:eastAsiaTheme="minorHAnsi" w:hAnsi="Calibri" w:cs="Calibri"/>
          <w:sz w:val="22"/>
          <w:szCs w:val="22"/>
        </w:rPr>
      </w:pPr>
      <w:r w:rsidRPr="00CB35AD">
        <w:rPr>
          <w:rFonts w:ascii="Calibri" w:eastAsiaTheme="minorHAnsi" w:hAnsi="Calibri" w:cs="Calibri"/>
          <w:sz w:val="22"/>
          <w:szCs w:val="22"/>
        </w:rPr>
        <w:t>Attendance Management and Sickness Policy and Procedure</w:t>
      </w:r>
    </w:p>
    <w:p w:rsidR="00253D21" w:rsidRPr="00CB35AD" w:rsidRDefault="00253D21" w:rsidP="00CB35AD">
      <w:pPr>
        <w:numPr>
          <w:ilvl w:val="0"/>
          <w:numId w:val="13"/>
        </w:numPr>
        <w:spacing w:before="120" w:after="120" w:line="252" w:lineRule="auto"/>
        <w:contextualSpacing/>
        <w:rPr>
          <w:rFonts w:ascii="Calibri" w:eastAsiaTheme="minorHAnsi" w:hAnsi="Calibri" w:cs="Calibri"/>
          <w:sz w:val="22"/>
          <w:szCs w:val="22"/>
        </w:rPr>
      </w:pPr>
      <w:r w:rsidRPr="00CB35AD">
        <w:rPr>
          <w:rFonts w:ascii="Calibri" w:eastAsiaTheme="minorHAnsi" w:hAnsi="Calibri" w:cs="Calibri"/>
          <w:sz w:val="22"/>
          <w:szCs w:val="22"/>
        </w:rPr>
        <w:t>Performance Management Policy and Procedure</w:t>
      </w:r>
    </w:p>
    <w:p w:rsidR="00253D21" w:rsidRPr="00CB35AD" w:rsidRDefault="00253D21" w:rsidP="00CB35AD">
      <w:pPr>
        <w:numPr>
          <w:ilvl w:val="0"/>
          <w:numId w:val="13"/>
        </w:numPr>
        <w:spacing w:before="120" w:after="120" w:line="252" w:lineRule="auto"/>
        <w:contextualSpacing/>
        <w:rPr>
          <w:rFonts w:ascii="Calibri" w:eastAsiaTheme="minorHAnsi" w:hAnsi="Calibri" w:cs="Calibri"/>
          <w:sz w:val="22"/>
          <w:szCs w:val="22"/>
        </w:rPr>
      </w:pPr>
      <w:r w:rsidRPr="00CB35AD">
        <w:rPr>
          <w:rFonts w:ascii="Calibri" w:eastAsiaTheme="minorHAnsi" w:hAnsi="Calibri" w:cs="Calibri"/>
          <w:sz w:val="22"/>
          <w:szCs w:val="22"/>
        </w:rPr>
        <w:t>Managing Relationships at Work Policy.</w:t>
      </w:r>
    </w:p>
    <w:p w:rsidR="00CB35AD" w:rsidRDefault="00CB35AD" w:rsidP="00253D21">
      <w:pPr>
        <w:spacing w:before="120" w:after="120"/>
        <w:jc w:val="both"/>
        <w:rPr>
          <w:rFonts w:ascii="Calibri" w:eastAsia="Calibri" w:hAnsi="Calibri" w:cs="Calibri"/>
          <w:sz w:val="22"/>
          <w:szCs w:val="22"/>
        </w:rPr>
      </w:pPr>
    </w:p>
    <w:p w:rsidR="00253D21" w:rsidRPr="009B342A" w:rsidRDefault="00253D21" w:rsidP="00253D21">
      <w:pPr>
        <w:spacing w:before="120" w:after="120"/>
        <w:jc w:val="both"/>
        <w:rPr>
          <w:rFonts w:ascii="Calibri" w:eastAsia="Calibri" w:hAnsi="Calibri" w:cs="Calibri"/>
          <w:sz w:val="22"/>
          <w:szCs w:val="22"/>
        </w:rPr>
      </w:pPr>
      <w:r w:rsidRPr="009B342A">
        <w:rPr>
          <w:rFonts w:ascii="Calibri" w:eastAsia="Calibri" w:hAnsi="Calibri" w:cs="Calibri"/>
          <w:sz w:val="22"/>
          <w:szCs w:val="22"/>
        </w:rPr>
        <w:t xml:space="preserve">In August 2019, the Council agreed a People Strategy and Competency Framework to underpin and support its Strategic Plan over the next four years. The People Strategy sets out how the Council as a business plans to attract, engage, empower and reward its staff so that it will continually have a workforce that can successfully deliver its ambitions, meet new challenges and drive opportunities to enable business growth. Its aim is to ensure that the Council has a skilled and aligned workforce which is crucial to delivering its priorities, objectives and the Strategic Plan. </w:t>
      </w:r>
    </w:p>
    <w:p w:rsidR="00253D21" w:rsidRPr="00665F14" w:rsidRDefault="00761461" w:rsidP="00253D21">
      <w:pPr>
        <w:spacing w:before="120" w:after="120"/>
        <w:jc w:val="both"/>
        <w:rPr>
          <w:rFonts w:ascii="Calibri" w:eastAsia="Calibri" w:hAnsi="Calibri" w:cs="Calibri"/>
          <w:sz w:val="22"/>
          <w:szCs w:val="22"/>
        </w:rPr>
      </w:pPr>
      <w:r w:rsidRPr="00761461">
        <w:rPr>
          <w:rFonts w:ascii="Calibri" w:eastAsia="Calibri" w:hAnsi="Calibri" w:cs="Calibri"/>
          <w:sz w:val="22"/>
          <w:szCs w:val="22"/>
        </w:rPr>
        <w:t xml:space="preserve">The Strategy will be regularly reviewed to ensure that it remains ‘fit for purpose’, and that the priorities it sets out are the right ones for the Council, its employees and most importantly the people of Lichfield District. </w:t>
      </w:r>
      <w:r w:rsidR="00253D21" w:rsidRPr="00761461">
        <w:rPr>
          <w:rFonts w:ascii="Calibri" w:eastAsia="Calibri" w:hAnsi="Calibri" w:cs="Calibri"/>
          <w:sz w:val="22"/>
          <w:szCs w:val="22"/>
        </w:rPr>
        <w:t>As part of the People Strategy, the Council has developed a Workforce Development Plan. Workforce</w:t>
      </w:r>
      <w:r w:rsidR="00253D21" w:rsidRPr="00665F14">
        <w:rPr>
          <w:rFonts w:ascii="Calibri" w:eastAsia="Calibri" w:hAnsi="Calibri" w:cs="Calibri"/>
          <w:sz w:val="22"/>
          <w:szCs w:val="22"/>
        </w:rPr>
        <w:t xml:space="preserve"> Planning is about:</w:t>
      </w:r>
    </w:p>
    <w:p w:rsidR="00253D21" w:rsidRPr="00CB35AD" w:rsidRDefault="00253D21" w:rsidP="00CB35AD">
      <w:pPr>
        <w:numPr>
          <w:ilvl w:val="0"/>
          <w:numId w:val="13"/>
        </w:numPr>
        <w:spacing w:before="120" w:after="120" w:line="252" w:lineRule="auto"/>
        <w:contextualSpacing/>
        <w:rPr>
          <w:rFonts w:ascii="Calibri" w:eastAsiaTheme="minorHAnsi" w:hAnsi="Calibri" w:cs="Calibri"/>
          <w:sz w:val="22"/>
          <w:szCs w:val="22"/>
        </w:rPr>
      </w:pPr>
      <w:r w:rsidRPr="00CB35AD">
        <w:rPr>
          <w:rFonts w:ascii="Calibri" w:eastAsiaTheme="minorHAnsi" w:hAnsi="Calibri" w:cs="Calibri"/>
          <w:sz w:val="22"/>
          <w:szCs w:val="22"/>
        </w:rPr>
        <w:t>The link between the Council’s strategies and its people plans</w:t>
      </w:r>
    </w:p>
    <w:p w:rsidR="00253D21" w:rsidRPr="00CB35AD" w:rsidRDefault="00253D21" w:rsidP="00CB35AD">
      <w:pPr>
        <w:numPr>
          <w:ilvl w:val="0"/>
          <w:numId w:val="13"/>
        </w:numPr>
        <w:spacing w:before="120" w:after="120" w:line="252" w:lineRule="auto"/>
        <w:contextualSpacing/>
        <w:rPr>
          <w:rFonts w:ascii="Calibri" w:eastAsiaTheme="minorHAnsi" w:hAnsi="Calibri" w:cs="Calibri"/>
          <w:sz w:val="22"/>
          <w:szCs w:val="22"/>
        </w:rPr>
      </w:pPr>
      <w:r w:rsidRPr="00CB35AD">
        <w:rPr>
          <w:rFonts w:ascii="Calibri" w:eastAsiaTheme="minorHAnsi" w:hAnsi="Calibri" w:cs="Calibri"/>
          <w:sz w:val="22"/>
          <w:szCs w:val="22"/>
        </w:rPr>
        <w:t>Identifying the future skills and competencies needed to deliver new and improved services</w:t>
      </w:r>
    </w:p>
    <w:p w:rsidR="00253D21" w:rsidRPr="00CB35AD" w:rsidRDefault="00253D21" w:rsidP="00CB35AD">
      <w:pPr>
        <w:numPr>
          <w:ilvl w:val="0"/>
          <w:numId w:val="13"/>
        </w:numPr>
        <w:spacing w:before="120" w:after="120" w:line="252" w:lineRule="auto"/>
        <w:contextualSpacing/>
        <w:rPr>
          <w:rFonts w:ascii="Calibri" w:eastAsiaTheme="minorHAnsi" w:hAnsi="Calibri" w:cs="Calibri"/>
          <w:sz w:val="22"/>
          <w:szCs w:val="22"/>
        </w:rPr>
      </w:pPr>
      <w:r w:rsidRPr="00CB35AD">
        <w:rPr>
          <w:rFonts w:ascii="Calibri" w:eastAsiaTheme="minorHAnsi" w:hAnsi="Calibri" w:cs="Calibri"/>
          <w:sz w:val="22"/>
          <w:szCs w:val="22"/>
        </w:rPr>
        <w:t>A knowledge of the current workforce</w:t>
      </w:r>
    </w:p>
    <w:p w:rsidR="00253D21" w:rsidRPr="00CB35AD" w:rsidRDefault="00253D21" w:rsidP="00CB35AD">
      <w:pPr>
        <w:numPr>
          <w:ilvl w:val="0"/>
          <w:numId w:val="13"/>
        </w:numPr>
        <w:spacing w:before="120" w:after="120" w:line="252" w:lineRule="auto"/>
        <w:contextualSpacing/>
        <w:rPr>
          <w:rFonts w:ascii="Calibri" w:eastAsiaTheme="minorHAnsi" w:hAnsi="Calibri" w:cs="Calibri"/>
          <w:sz w:val="22"/>
          <w:szCs w:val="22"/>
        </w:rPr>
      </w:pPr>
      <w:r w:rsidRPr="00CB35AD">
        <w:rPr>
          <w:rFonts w:ascii="Calibri" w:eastAsiaTheme="minorHAnsi" w:hAnsi="Calibri" w:cs="Calibri"/>
          <w:sz w:val="22"/>
          <w:szCs w:val="22"/>
        </w:rPr>
        <w:t>A comparison between present and future skills and competencies and identifying any gaps</w:t>
      </w:r>
    </w:p>
    <w:p w:rsidR="00253D21" w:rsidRPr="00CB35AD" w:rsidRDefault="00253D21" w:rsidP="00CB35AD">
      <w:pPr>
        <w:numPr>
          <w:ilvl w:val="0"/>
          <w:numId w:val="13"/>
        </w:numPr>
        <w:spacing w:before="120" w:after="120" w:line="252" w:lineRule="auto"/>
        <w:contextualSpacing/>
        <w:rPr>
          <w:rFonts w:ascii="Calibri" w:eastAsiaTheme="minorHAnsi" w:hAnsi="Calibri" w:cs="Calibri"/>
          <w:sz w:val="22"/>
          <w:szCs w:val="22"/>
        </w:rPr>
      </w:pPr>
      <w:r w:rsidRPr="00CB35AD">
        <w:rPr>
          <w:rFonts w:ascii="Calibri" w:eastAsiaTheme="minorHAnsi" w:hAnsi="Calibri" w:cs="Calibri"/>
          <w:sz w:val="22"/>
          <w:szCs w:val="22"/>
        </w:rPr>
        <w:t>Developing strategies and plans to eliminate those gaps.</w:t>
      </w:r>
    </w:p>
    <w:p w:rsidR="00761461" w:rsidRDefault="00761461" w:rsidP="00253D21">
      <w:pPr>
        <w:spacing w:before="120" w:after="120"/>
        <w:jc w:val="both"/>
        <w:rPr>
          <w:rFonts w:ascii="Calibri" w:eastAsia="Calibri" w:hAnsi="Calibri" w:cs="Calibri"/>
          <w:sz w:val="22"/>
          <w:szCs w:val="22"/>
        </w:rPr>
      </w:pPr>
    </w:p>
    <w:p w:rsidR="00761461" w:rsidRPr="00761461" w:rsidRDefault="00761461" w:rsidP="00761461">
      <w:pPr>
        <w:spacing w:before="120" w:after="120"/>
        <w:jc w:val="both"/>
        <w:rPr>
          <w:rFonts w:ascii="Calibri" w:eastAsia="Calibri" w:hAnsi="Calibri" w:cs="Calibri"/>
          <w:sz w:val="22"/>
          <w:szCs w:val="22"/>
        </w:rPr>
      </w:pPr>
      <w:r w:rsidRPr="00761461">
        <w:rPr>
          <w:rFonts w:ascii="Calibri" w:eastAsia="Calibri" w:hAnsi="Calibri" w:cs="Calibri"/>
          <w:sz w:val="22"/>
          <w:szCs w:val="22"/>
        </w:rPr>
        <w:t>The Workforce Development Plan will be reviewed on an annual basis in line with the annual update of Service Plans (Core Principle C).</w:t>
      </w:r>
    </w:p>
    <w:p w:rsidR="00761461" w:rsidRPr="00761461" w:rsidRDefault="00761461" w:rsidP="00761461">
      <w:pPr>
        <w:spacing w:before="120" w:after="120"/>
        <w:jc w:val="both"/>
        <w:rPr>
          <w:rFonts w:ascii="Calibri" w:eastAsia="Calibri" w:hAnsi="Calibri" w:cs="Calibri"/>
          <w:sz w:val="22"/>
          <w:szCs w:val="22"/>
        </w:rPr>
      </w:pPr>
      <w:r w:rsidRPr="00761461">
        <w:rPr>
          <w:rFonts w:ascii="Calibri" w:eastAsia="Calibri" w:hAnsi="Calibri" w:cs="Calibri"/>
          <w:sz w:val="22"/>
          <w:szCs w:val="22"/>
        </w:rPr>
        <w:t>Within the People Strategy the Council has also adopted an Employee Wellbeing Policy that demonstrates the Council’s commitment to supporting staff and the types of support that are available.</w:t>
      </w:r>
      <w:r w:rsidR="001F7DBE">
        <w:rPr>
          <w:rFonts w:ascii="Calibri" w:eastAsia="Calibri" w:hAnsi="Calibri" w:cs="Calibri"/>
          <w:sz w:val="22"/>
          <w:szCs w:val="22"/>
        </w:rPr>
        <w:t xml:space="preserve"> There is</w:t>
      </w:r>
      <w:r w:rsidR="009D7DA2">
        <w:rPr>
          <w:rFonts w:ascii="Calibri" w:eastAsia="Calibri" w:hAnsi="Calibri" w:cs="Calibri"/>
          <w:sz w:val="22"/>
          <w:szCs w:val="22"/>
        </w:rPr>
        <w:t>,</w:t>
      </w:r>
      <w:r w:rsidR="001F7DBE">
        <w:rPr>
          <w:rFonts w:ascii="Calibri" w:eastAsia="Calibri" w:hAnsi="Calibri" w:cs="Calibri"/>
          <w:sz w:val="22"/>
          <w:szCs w:val="22"/>
        </w:rPr>
        <w:t xml:space="preserve"> in addition</w:t>
      </w:r>
      <w:r w:rsidR="009D7DA2">
        <w:rPr>
          <w:rFonts w:ascii="Calibri" w:eastAsia="Calibri" w:hAnsi="Calibri" w:cs="Calibri"/>
          <w:sz w:val="22"/>
          <w:szCs w:val="22"/>
        </w:rPr>
        <w:t>,</w:t>
      </w:r>
      <w:r w:rsidRPr="00761461">
        <w:rPr>
          <w:rFonts w:ascii="Calibri" w:eastAsia="Calibri" w:hAnsi="Calibri" w:cs="Calibri"/>
          <w:sz w:val="22"/>
          <w:szCs w:val="22"/>
        </w:rPr>
        <w:t xml:space="preserve"> a Mental Health Action Plan</w:t>
      </w:r>
      <w:r w:rsidR="001F7DBE">
        <w:rPr>
          <w:rFonts w:ascii="Calibri" w:eastAsia="Calibri" w:hAnsi="Calibri" w:cs="Calibri"/>
          <w:sz w:val="22"/>
          <w:szCs w:val="22"/>
        </w:rPr>
        <w:t xml:space="preserve"> to support</w:t>
      </w:r>
      <w:r w:rsidRPr="00761461">
        <w:rPr>
          <w:rFonts w:ascii="Calibri" w:eastAsia="Calibri" w:hAnsi="Calibri" w:cs="Calibri"/>
          <w:sz w:val="22"/>
          <w:szCs w:val="22"/>
        </w:rPr>
        <w:t xml:space="preserve"> our employees’ ability to ‘thrive’ at work. It has also been raising awareness of mental health issues for all employees and providing training sessions and resources for managers to undertake ‘wellness action plan’ discussions with all staff, training sessions for staff to help build resilience and creating a team of mental health first aiders. These roles have proved invaluable during the pandemic in supporting our workforce. </w:t>
      </w:r>
    </w:p>
    <w:p w:rsidR="00761461" w:rsidRPr="00761461" w:rsidRDefault="00761461" w:rsidP="00761461">
      <w:pPr>
        <w:spacing w:before="120" w:after="120"/>
        <w:jc w:val="both"/>
        <w:rPr>
          <w:rFonts w:ascii="Calibri" w:eastAsia="Calibri" w:hAnsi="Calibri" w:cs="Calibri"/>
          <w:sz w:val="22"/>
          <w:szCs w:val="22"/>
        </w:rPr>
      </w:pPr>
      <w:r w:rsidRPr="00761461">
        <w:rPr>
          <w:rFonts w:ascii="Calibri" w:eastAsia="Calibri" w:hAnsi="Calibri" w:cs="Calibri"/>
          <w:sz w:val="22"/>
          <w:szCs w:val="22"/>
        </w:rPr>
        <w:t xml:space="preserve">Throughout the pandemic we have continued to review our approach and the support available to staff and managers in dealing with the sudden shift to home working for office based staff. </w:t>
      </w:r>
    </w:p>
    <w:p w:rsidR="000A1798" w:rsidRPr="009A0B18" w:rsidRDefault="000A1798" w:rsidP="000A1798">
      <w:pPr>
        <w:spacing w:before="120" w:after="120"/>
        <w:jc w:val="both"/>
        <w:rPr>
          <w:rFonts w:ascii="Calibri" w:eastAsia="Calibri" w:hAnsi="Calibri" w:cs="Calibri"/>
          <w:sz w:val="22"/>
          <w:szCs w:val="22"/>
        </w:rPr>
      </w:pPr>
      <w:r>
        <w:rPr>
          <w:rFonts w:ascii="Calibri" w:eastAsia="Calibri" w:hAnsi="Calibri" w:cs="Calibri"/>
          <w:sz w:val="22"/>
          <w:szCs w:val="22"/>
        </w:rPr>
        <w:t xml:space="preserve">In November 2020, Internal Audit carried out a review of </w:t>
      </w:r>
      <w:r w:rsidRPr="009A0B18">
        <w:rPr>
          <w:rFonts w:ascii="Calibri" w:eastAsia="Calibri" w:hAnsi="Calibri" w:cs="Calibri"/>
          <w:sz w:val="22"/>
          <w:szCs w:val="22"/>
        </w:rPr>
        <w:t>the sufficiency and adequacy of controls in place to mitigate against key risks to our operations arising from the pandemic relating to staff wellbeing.</w:t>
      </w:r>
      <w:r w:rsidR="009A0B18">
        <w:rPr>
          <w:rFonts w:ascii="Calibri" w:eastAsia="Calibri" w:hAnsi="Calibri" w:cs="Calibri"/>
          <w:sz w:val="22"/>
          <w:szCs w:val="22"/>
        </w:rPr>
        <w:t xml:space="preserve"> </w:t>
      </w:r>
      <w:r w:rsidR="009A0B18" w:rsidRPr="001B2138">
        <w:rPr>
          <w:rFonts w:ascii="Calibri" w:eastAsia="Calibri" w:hAnsi="Calibri" w:cs="Calibri"/>
          <w:sz w:val="22"/>
          <w:szCs w:val="22"/>
        </w:rPr>
        <w:t>The audit covered the time per</w:t>
      </w:r>
      <w:r w:rsidR="003F4E1D">
        <w:rPr>
          <w:rFonts w:ascii="Calibri" w:eastAsia="Calibri" w:hAnsi="Calibri" w:cs="Calibri"/>
          <w:sz w:val="22"/>
          <w:szCs w:val="22"/>
        </w:rPr>
        <w:t xml:space="preserve">iod April 2020 to October 2020. </w:t>
      </w:r>
      <w:r w:rsidR="004B0E7A">
        <w:rPr>
          <w:rFonts w:ascii="Calibri" w:eastAsia="Calibri" w:hAnsi="Calibri" w:cs="Calibri"/>
          <w:sz w:val="22"/>
          <w:szCs w:val="22"/>
        </w:rPr>
        <w:t>The overall result of the audit was Substantial Assurance and this was reported to Audit and Member Standards Committee.</w:t>
      </w:r>
    </w:p>
    <w:p w:rsidR="00FF0A8E" w:rsidRDefault="00FF0A8E" w:rsidP="00253D21">
      <w:pPr>
        <w:spacing w:before="120" w:after="120"/>
        <w:jc w:val="both"/>
        <w:rPr>
          <w:rFonts w:ascii="Calibri" w:eastAsia="Calibri" w:hAnsi="Calibri" w:cs="Calibri"/>
          <w:sz w:val="22"/>
          <w:szCs w:val="22"/>
        </w:rPr>
      </w:pPr>
      <w:r w:rsidRPr="00FF0A8E">
        <w:rPr>
          <w:rFonts w:ascii="Calibri" w:eastAsia="Calibri" w:hAnsi="Calibri" w:cs="Calibri"/>
          <w:sz w:val="22"/>
          <w:szCs w:val="22"/>
        </w:rPr>
        <w:t>T</w:t>
      </w:r>
      <w:r w:rsidR="00253D21" w:rsidRPr="00FF0A8E">
        <w:rPr>
          <w:rFonts w:ascii="Calibri" w:eastAsia="Calibri" w:hAnsi="Calibri" w:cs="Calibri"/>
          <w:sz w:val="22"/>
          <w:szCs w:val="22"/>
        </w:rPr>
        <w:t xml:space="preserve">he Council </w:t>
      </w:r>
      <w:r w:rsidRPr="00FF0A8E">
        <w:rPr>
          <w:rFonts w:ascii="Calibri" w:eastAsia="Calibri" w:hAnsi="Calibri" w:cs="Calibri"/>
          <w:sz w:val="22"/>
          <w:szCs w:val="22"/>
        </w:rPr>
        <w:t xml:space="preserve">continues to </w:t>
      </w:r>
      <w:r w:rsidR="00253D21" w:rsidRPr="00FF0A8E">
        <w:rPr>
          <w:rFonts w:ascii="Calibri" w:eastAsia="Calibri" w:hAnsi="Calibri" w:cs="Calibri"/>
          <w:sz w:val="22"/>
          <w:szCs w:val="22"/>
        </w:rPr>
        <w:t xml:space="preserve">work to ensure that all its policies around managing attendance, behaviour and respect support its aims to promote a positive culture for wellbeing. </w:t>
      </w:r>
    </w:p>
    <w:p w:rsidR="00253D21" w:rsidRDefault="00253D21" w:rsidP="00253D21">
      <w:pPr>
        <w:spacing w:before="120" w:after="120"/>
        <w:jc w:val="both"/>
        <w:rPr>
          <w:rFonts w:ascii="Calibri" w:hAnsi="Calibri" w:cs="Calibri"/>
          <w:sz w:val="22"/>
          <w:szCs w:val="22"/>
        </w:rPr>
      </w:pPr>
      <w:r w:rsidRPr="009B342A">
        <w:rPr>
          <w:rFonts w:ascii="Calibri" w:hAnsi="Calibri" w:cs="Calibri"/>
          <w:sz w:val="22"/>
          <w:szCs w:val="22"/>
        </w:rPr>
        <w:t>The Council’s Monitoring Officer advises on compliance with our policy framework, ensuring that decision making is lawful and fair. The role of the Section 151 Officer also ensures legality as well as financial prudence and transparency in transactions. The S</w:t>
      </w:r>
      <w:r w:rsidR="001A3BDA">
        <w:rPr>
          <w:rFonts w:ascii="Calibri" w:hAnsi="Calibri" w:cs="Calibri"/>
          <w:sz w:val="22"/>
          <w:szCs w:val="22"/>
        </w:rPr>
        <w:t>ection 1</w:t>
      </w:r>
      <w:r w:rsidRPr="009B342A">
        <w:rPr>
          <w:rFonts w:ascii="Calibri" w:hAnsi="Calibri" w:cs="Calibri"/>
          <w:sz w:val="22"/>
          <w:szCs w:val="22"/>
        </w:rPr>
        <w:t>51 Officer role is discussed in more detail under Core Principle F.</w:t>
      </w:r>
    </w:p>
    <w:p w:rsidR="0020097A" w:rsidRDefault="00EE4DB3" w:rsidP="00EE4DB3">
      <w:pPr>
        <w:spacing w:before="120" w:after="120"/>
        <w:jc w:val="both"/>
        <w:rPr>
          <w:rFonts w:ascii="Calibri" w:hAnsi="Calibri" w:cs="Calibri"/>
          <w:sz w:val="22"/>
          <w:szCs w:val="22"/>
        </w:rPr>
      </w:pPr>
      <w:r w:rsidRPr="009B342A">
        <w:rPr>
          <w:rFonts w:ascii="Calibri" w:hAnsi="Calibri" w:cs="Calibri"/>
          <w:sz w:val="22"/>
          <w:szCs w:val="22"/>
        </w:rPr>
        <w:t xml:space="preserve">Under the 2015 Care Act, the Council has a legal responsibility to safeguard, promote well-being and protect children and vulnerable adults. The Authority has a Safeguarding Policy which sets outs specific </w:t>
      </w:r>
      <w:r w:rsidRPr="00EE4DB3">
        <w:rPr>
          <w:rFonts w:ascii="Calibri" w:hAnsi="Calibri" w:cs="Calibri"/>
          <w:sz w:val="22"/>
          <w:szCs w:val="22"/>
        </w:rPr>
        <w:t xml:space="preserve">responsibilities and how to spot potential abuse and report concerns. In addition, each Service Area </w:t>
      </w:r>
      <w:r w:rsidRPr="00EE4DB3">
        <w:rPr>
          <w:rFonts w:ascii="Calibri" w:hAnsi="Calibri" w:cs="Calibri"/>
          <w:sz w:val="22"/>
          <w:szCs w:val="22"/>
        </w:rPr>
        <w:lastRenderedPageBreak/>
        <w:t xml:space="preserve">has a safeguarding lead, and training and awareness sessions are carried out for all staff, not just those who come into contact with children and vulnerable adults as part of their role.  </w:t>
      </w:r>
    </w:p>
    <w:p w:rsidR="00EE4DB3" w:rsidRPr="00EE4DB3" w:rsidRDefault="00EE4DB3" w:rsidP="00EE4DB3">
      <w:pPr>
        <w:spacing w:before="120" w:after="120"/>
        <w:jc w:val="both"/>
        <w:rPr>
          <w:rFonts w:ascii="Calibri" w:hAnsi="Calibri" w:cs="Calibri"/>
          <w:sz w:val="22"/>
          <w:szCs w:val="22"/>
        </w:rPr>
      </w:pPr>
      <w:r w:rsidRPr="00EE4DB3">
        <w:rPr>
          <w:rFonts w:ascii="Calibri" w:hAnsi="Calibri" w:cs="Calibri"/>
          <w:sz w:val="22"/>
          <w:szCs w:val="22"/>
        </w:rPr>
        <w:t xml:space="preserve">The number of referrals in 2020/21 compared with 2019/20 </w:t>
      </w:r>
      <w:r w:rsidR="00665AED">
        <w:rPr>
          <w:rFonts w:ascii="Calibri" w:hAnsi="Calibri" w:cs="Calibri"/>
          <w:sz w:val="22"/>
          <w:szCs w:val="22"/>
        </w:rPr>
        <w:t>are</w:t>
      </w:r>
      <w:r w:rsidRPr="00EE4DB3">
        <w:rPr>
          <w:rFonts w:ascii="Calibri" w:hAnsi="Calibri" w:cs="Calibri"/>
          <w:sz w:val="22"/>
          <w:szCs w:val="22"/>
        </w:rPr>
        <w:t xml:space="preserve"> shown below:</w:t>
      </w:r>
    </w:p>
    <w:tbl>
      <w:tblPr>
        <w:tblStyle w:val="TableGrid1"/>
        <w:tblW w:w="0" w:type="auto"/>
        <w:tblLook w:val="04A0" w:firstRow="1" w:lastRow="0" w:firstColumn="1" w:lastColumn="0" w:noHBand="0" w:noVBand="1"/>
      </w:tblPr>
      <w:tblGrid>
        <w:gridCol w:w="2886"/>
        <w:gridCol w:w="1802"/>
        <w:gridCol w:w="1015"/>
        <w:gridCol w:w="1090"/>
        <w:gridCol w:w="876"/>
      </w:tblGrid>
      <w:tr w:rsidR="00EE4DB3" w:rsidRPr="00EE4DB3" w:rsidTr="006F539E">
        <w:tc>
          <w:tcPr>
            <w:tcW w:w="2886" w:type="dxa"/>
            <w:vMerge w:val="restart"/>
          </w:tcPr>
          <w:p w:rsidR="00EE4DB3" w:rsidRPr="00EE4DB3" w:rsidRDefault="00EE4DB3" w:rsidP="006F539E">
            <w:pPr>
              <w:rPr>
                <w:rFonts w:ascii="Calibri" w:hAnsi="Calibri"/>
                <w:sz w:val="22"/>
                <w:szCs w:val="22"/>
              </w:rPr>
            </w:pPr>
            <w:r w:rsidRPr="00EE4DB3">
              <w:rPr>
                <w:rFonts w:ascii="Calibri" w:hAnsi="Calibri"/>
                <w:noProof/>
                <w:sz w:val="22"/>
                <w:szCs w:val="22"/>
                <w:lang w:eastAsia="en-GB"/>
              </w:rPr>
              <w:drawing>
                <wp:inline distT="0" distB="0" distL="0" distR="0" wp14:anchorId="408140C9" wp14:editId="399F2DD8">
                  <wp:extent cx="1647825" cy="1990725"/>
                  <wp:effectExtent l="0" t="0" r="9525" b="9525"/>
                  <wp:docPr id="4" name="Picture 4" descr="S:\Financial Services\Accounts Shared Area\Annual Governance Statements\2019_20\kissclipart-child-protection-png-clipart-child-protection-safe-03b8ae6500723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inancial Services\Accounts Shared Area\Annual Governance Statements\2019_20\kissclipart-child-protection-png-clipart-child-protection-safe-03b8ae650072318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1687954" cy="2039205"/>
                          </a:xfrm>
                          <a:prstGeom prst="rect">
                            <a:avLst/>
                          </a:prstGeom>
                          <a:noFill/>
                          <a:ln w="3175">
                            <a:noFill/>
                          </a:ln>
                        </pic:spPr>
                      </pic:pic>
                    </a:graphicData>
                  </a:graphic>
                </wp:inline>
              </w:drawing>
            </w:r>
          </w:p>
        </w:tc>
        <w:tc>
          <w:tcPr>
            <w:tcW w:w="1802" w:type="dxa"/>
            <w:tcBorders>
              <w:bottom w:val="single" w:sz="4" w:space="0" w:color="auto"/>
            </w:tcBorders>
          </w:tcPr>
          <w:p w:rsidR="00EE4DB3" w:rsidRPr="00EE4DB3" w:rsidRDefault="00EE4DB3" w:rsidP="006F539E">
            <w:pPr>
              <w:jc w:val="center"/>
              <w:rPr>
                <w:rFonts w:ascii="Calibri" w:hAnsi="Calibri"/>
                <w:b/>
                <w:sz w:val="22"/>
                <w:szCs w:val="22"/>
              </w:rPr>
            </w:pPr>
            <w:r w:rsidRPr="00EE4DB3">
              <w:rPr>
                <w:rFonts w:ascii="Calibri" w:hAnsi="Calibri"/>
                <w:b/>
                <w:sz w:val="22"/>
                <w:szCs w:val="22"/>
              </w:rPr>
              <w:t>Area</w:t>
            </w:r>
          </w:p>
        </w:tc>
        <w:tc>
          <w:tcPr>
            <w:tcW w:w="1015" w:type="dxa"/>
            <w:tcBorders>
              <w:bottom w:val="single" w:sz="4" w:space="0" w:color="auto"/>
            </w:tcBorders>
            <w:shd w:val="clear" w:color="auto" w:fill="F7CAAC"/>
          </w:tcPr>
          <w:p w:rsidR="00EE4DB3" w:rsidRPr="00EE4DB3" w:rsidRDefault="00EE4DB3" w:rsidP="006F539E">
            <w:pPr>
              <w:jc w:val="center"/>
              <w:rPr>
                <w:rFonts w:ascii="Calibri" w:hAnsi="Calibri"/>
                <w:b/>
                <w:sz w:val="22"/>
                <w:szCs w:val="22"/>
              </w:rPr>
            </w:pPr>
            <w:r w:rsidRPr="00EE4DB3">
              <w:rPr>
                <w:rFonts w:ascii="Calibri" w:hAnsi="Calibri"/>
                <w:b/>
                <w:sz w:val="22"/>
                <w:szCs w:val="22"/>
              </w:rPr>
              <w:t>2019/20</w:t>
            </w:r>
          </w:p>
        </w:tc>
        <w:tc>
          <w:tcPr>
            <w:tcW w:w="1090" w:type="dxa"/>
            <w:tcBorders>
              <w:bottom w:val="single" w:sz="4" w:space="0" w:color="auto"/>
            </w:tcBorders>
            <w:shd w:val="clear" w:color="auto" w:fill="C5E0B3"/>
          </w:tcPr>
          <w:p w:rsidR="00EE4DB3" w:rsidRPr="00EE4DB3" w:rsidRDefault="00EE4DB3" w:rsidP="006F539E">
            <w:pPr>
              <w:jc w:val="center"/>
              <w:rPr>
                <w:rFonts w:ascii="Calibri" w:hAnsi="Calibri"/>
                <w:b/>
                <w:sz w:val="22"/>
                <w:szCs w:val="22"/>
              </w:rPr>
            </w:pPr>
            <w:r w:rsidRPr="00EE4DB3">
              <w:rPr>
                <w:rFonts w:ascii="Calibri" w:hAnsi="Calibri"/>
                <w:b/>
                <w:sz w:val="22"/>
                <w:szCs w:val="22"/>
              </w:rPr>
              <w:t>2020/21</w:t>
            </w:r>
          </w:p>
        </w:tc>
        <w:tc>
          <w:tcPr>
            <w:tcW w:w="876" w:type="dxa"/>
            <w:tcBorders>
              <w:bottom w:val="single" w:sz="4" w:space="0" w:color="auto"/>
            </w:tcBorders>
          </w:tcPr>
          <w:p w:rsidR="00EE4DB3" w:rsidRPr="00EE4DB3" w:rsidRDefault="00EE4DB3" w:rsidP="006F539E">
            <w:pPr>
              <w:jc w:val="center"/>
              <w:rPr>
                <w:rFonts w:ascii="Calibri" w:hAnsi="Calibri"/>
                <w:b/>
                <w:sz w:val="22"/>
                <w:szCs w:val="22"/>
              </w:rPr>
            </w:pPr>
            <w:r w:rsidRPr="00EE4DB3">
              <w:rPr>
                <w:rFonts w:ascii="Calibri" w:hAnsi="Calibri"/>
                <w:b/>
                <w:sz w:val="22"/>
                <w:szCs w:val="22"/>
              </w:rPr>
              <w:t>Trend</w:t>
            </w:r>
          </w:p>
        </w:tc>
      </w:tr>
      <w:tr w:rsidR="00EE4DB3" w:rsidRPr="00EE4DB3" w:rsidTr="006F539E">
        <w:tc>
          <w:tcPr>
            <w:tcW w:w="2886" w:type="dxa"/>
            <w:vMerge/>
          </w:tcPr>
          <w:p w:rsidR="00EE4DB3" w:rsidRPr="00EE4DB3" w:rsidRDefault="00EE4DB3" w:rsidP="006F539E">
            <w:pPr>
              <w:rPr>
                <w:rFonts w:ascii="Calibri" w:hAnsi="Calibri"/>
                <w:sz w:val="22"/>
                <w:szCs w:val="22"/>
              </w:rPr>
            </w:pPr>
          </w:p>
        </w:tc>
        <w:tc>
          <w:tcPr>
            <w:tcW w:w="1802" w:type="dxa"/>
            <w:tcBorders>
              <w:bottom w:val="single" w:sz="4" w:space="0" w:color="auto"/>
            </w:tcBorders>
            <w:vAlign w:val="center"/>
          </w:tcPr>
          <w:p w:rsidR="00EE4DB3" w:rsidRPr="00EE4DB3" w:rsidRDefault="00EE4DB3" w:rsidP="006F539E">
            <w:pPr>
              <w:rPr>
                <w:rFonts w:ascii="Calibri" w:hAnsi="Calibri"/>
                <w:b/>
                <w:sz w:val="22"/>
                <w:szCs w:val="22"/>
              </w:rPr>
            </w:pPr>
            <w:r w:rsidRPr="00EE4DB3">
              <w:rPr>
                <w:rFonts w:ascii="Calibri" w:hAnsi="Calibri"/>
                <w:b/>
                <w:sz w:val="22"/>
                <w:szCs w:val="22"/>
              </w:rPr>
              <w:t>Concerns Raised</w:t>
            </w:r>
          </w:p>
        </w:tc>
        <w:tc>
          <w:tcPr>
            <w:tcW w:w="1015" w:type="dxa"/>
            <w:tcBorders>
              <w:bottom w:val="single" w:sz="4" w:space="0" w:color="auto"/>
            </w:tcBorders>
            <w:shd w:val="clear" w:color="auto" w:fill="F7CAAC"/>
            <w:vAlign w:val="center"/>
          </w:tcPr>
          <w:p w:rsidR="00EE4DB3" w:rsidRPr="00EE4DB3" w:rsidRDefault="00EE4DB3" w:rsidP="006F539E">
            <w:pPr>
              <w:jc w:val="right"/>
              <w:rPr>
                <w:rFonts w:ascii="Calibri" w:hAnsi="Calibri"/>
                <w:b/>
                <w:sz w:val="22"/>
                <w:szCs w:val="22"/>
              </w:rPr>
            </w:pPr>
            <w:r w:rsidRPr="00EE4DB3">
              <w:rPr>
                <w:rFonts w:ascii="Calibri" w:hAnsi="Calibri"/>
                <w:b/>
                <w:sz w:val="22"/>
                <w:szCs w:val="22"/>
              </w:rPr>
              <w:t>19</w:t>
            </w:r>
          </w:p>
        </w:tc>
        <w:tc>
          <w:tcPr>
            <w:tcW w:w="1090" w:type="dxa"/>
            <w:tcBorders>
              <w:bottom w:val="single" w:sz="4" w:space="0" w:color="auto"/>
            </w:tcBorders>
            <w:shd w:val="clear" w:color="auto" w:fill="C5E0B3"/>
            <w:vAlign w:val="center"/>
          </w:tcPr>
          <w:p w:rsidR="00EE4DB3" w:rsidRPr="00EE4DB3" w:rsidRDefault="00EE4DB3" w:rsidP="006F539E">
            <w:pPr>
              <w:jc w:val="right"/>
              <w:rPr>
                <w:rFonts w:ascii="Calibri" w:hAnsi="Calibri"/>
                <w:b/>
                <w:sz w:val="22"/>
                <w:szCs w:val="22"/>
              </w:rPr>
            </w:pPr>
            <w:r w:rsidRPr="00EE4DB3">
              <w:rPr>
                <w:rFonts w:ascii="Calibri" w:hAnsi="Calibri"/>
                <w:b/>
                <w:sz w:val="22"/>
                <w:szCs w:val="22"/>
              </w:rPr>
              <w:t>13</w:t>
            </w:r>
          </w:p>
        </w:tc>
        <w:tc>
          <w:tcPr>
            <w:tcW w:w="876" w:type="dxa"/>
            <w:tcBorders>
              <w:bottom w:val="single" w:sz="4" w:space="0" w:color="auto"/>
            </w:tcBorders>
          </w:tcPr>
          <w:p w:rsidR="00EE4DB3" w:rsidRPr="00EE4DB3" w:rsidRDefault="00EE4DB3" w:rsidP="006F539E">
            <w:pPr>
              <w:jc w:val="center"/>
              <w:rPr>
                <w:rFonts w:ascii="Calibri" w:hAnsi="Calibri"/>
                <w:b/>
                <w:sz w:val="22"/>
                <w:szCs w:val="22"/>
              </w:rPr>
            </w:pPr>
            <w:r w:rsidRPr="00EE4DB3">
              <w:rPr>
                <w:rFonts w:cs="Arial"/>
                <w:noProof/>
                <w:color w:val="FFFFFF"/>
                <w:sz w:val="20"/>
                <w:szCs w:val="20"/>
                <w:lang w:eastAsia="en-GB"/>
              </w:rPr>
              <w:drawing>
                <wp:inline distT="0" distB="0" distL="0" distR="0" wp14:anchorId="4FFD0EF6" wp14:editId="3A33D8BF">
                  <wp:extent cx="409575" cy="371475"/>
                  <wp:effectExtent l="0" t="0" r="9525" b="9525"/>
                  <wp:docPr id="20" name="Picture 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09575" cy="371475"/>
                          </a:xfrm>
                          <a:prstGeom prst="rect">
                            <a:avLst/>
                          </a:prstGeom>
                          <a:noFill/>
                          <a:ln>
                            <a:noFill/>
                          </a:ln>
                        </pic:spPr>
                      </pic:pic>
                    </a:graphicData>
                  </a:graphic>
                </wp:inline>
              </w:drawing>
            </w:r>
          </w:p>
        </w:tc>
      </w:tr>
      <w:tr w:rsidR="00EE4DB3" w:rsidRPr="00EE4DB3" w:rsidTr="006F539E">
        <w:tc>
          <w:tcPr>
            <w:tcW w:w="2886" w:type="dxa"/>
            <w:vMerge/>
            <w:tcBorders>
              <w:right w:val="single" w:sz="4" w:space="0" w:color="auto"/>
            </w:tcBorders>
          </w:tcPr>
          <w:p w:rsidR="00EE4DB3" w:rsidRPr="00EE4DB3" w:rsidRDefault="00EE4DB3" w:rsidP="006F539E">
            <w:pPr>
              <w:rPr>
                <w:rFonts w:ascii="Calibri" w:hAnsi="Calibri"/>
                <w:sz w:val="22"/>
                <w:szCs w:val="22"/>
              </w:rPr>
            </w:pPr>
          </w:p>
        </w:tc>
        <w:tc>
          <w:tcPr>
            <w:tcW w:w="1802" w:type="dxa"/>
            <w:tcBorders>
              <w:top w:val="single" w:sz="4" w:space="0" w:color="auto"/>
              <w:left w:val="single" w:sz="4" w:space="0" w:color="auto"/>
              <w:bottom w:val="single" w:sz="4" w:space="0" w:color="auto"/>
              <w:right w:val="single" w:sz="4" w:space="0" w:color="auto"/>
            </w:tcBorders>
            <w:vAlign w:val="center"/>
          </w:tcPr>
          <w:p w:rsidR="00EE4DB3" w:rsidRPr="00EE4DB3" w:rsidRDefault="00EE4DB3" w:rsidP="006F539E">
            <w:pPr>
              <w:rPr>
                <w:rFonts w:ascii="Calibri" w:hAnsi="Calibri"/>
                <w:i/>
                <w:sz w:val="22"/>
                <w:szCs w:val="22"/>
              </w:rPr>
            </w:pPr>
            <w:r w:rsidRPr="00EE4DB3">
              <w:rPr>
                <w:rFonts w:ascii="Calibri" w:hAnsi="Calibri"/>
                <w:i/>
                <w:sz w:val="22"/>
                <w:szCs w:val="22"/>
              </w:rPr>
              <w:t>Related to:</w:t>
            </w:r>
          </w:p>
        </w:tc>
        <w:tc>
          <w:tcPr>
            <w:tcW w:w="1015" w:type="dxa"/>
            <w:tcBorders>
              <w:top w:val="single" w:sz="4" w:space="0" w:color="auto"/>
              <w:left w:val="single" w:sz="4" w:space="0" w:color="auto"/>
              <w:bottom w:val="single" w:sz="4" w:space="0" w:color="auto"/>
              <w:right w:val="nil"/>
            </w:tcBorders>
            <w:shd w:val="clear" w:color="auto" w:fill="FFFFFF"/>
          </w:tcPr>
          <w:p w:rsidR="00EE4DB3" w:rsidRPr="00EE4DB3" w:rsidRDefault="00EE4DB3" w:rsidP="006F539E">
            <w:pPr>
              <w:jc w:val="right"/>
              <w:rPr>
                <w:rFonts w:ascii="Calibri" w:hAnsi="Calibri"/>
                <w:i/>
                <w:sz w:val="22"/>
                <w:szCs w:val="22"/>
              </w:rPr>
            </w:pPr>
          </w:p>
        </w:tc>
        <w:tc>
          <w:tcPr>
            <w:tcW w:w="1090" w:type="dxa"/>
            <w:tcBorders>
              <w:top w:val="single" w:sz="4" w:space="0" w:color="auto"/>
              <w:left w:val="nil"/>
              <w:bottom w:val="single" w:sz="4" w:space="0" w:color="auto"/>
              <w:right w:val="nil"/>
            </w:tcBorders>
            <w:shd w:val="clear" w:color="auto" w:fill="FFFFFF"/>
          </w:tcPr>
          <w:p w:rsidR="00EE4DB3" w:rsidRPr="00EE4DB3" w:rsidRDefault="00EE4DB3" w:rsidP="006F539E">
            <w:pPr>
              <w:jc w:val="right"/>
              <w:rPr>
                <w:rFonts w:ascii="Calibri" w:hAnsi="Calibri"/>
                <w:i/>
                <w:sz w:val="22"/>
                <w:szCs w:val="22"/>
              </w:rPr>
            </w:pPr>
          </w:p>
        </w:tc>
        <w:tc>
          <w:tcPr>
            <w:tcW w:w="876" w:type="dxa"/>
            <w:tcBorders>
              <w:top w:val="single" w:sz="4" w:space="0" w:color="auto"/>
              <w:left w:val="nil"/>
              <w:bottom w:val="single" w:sz="4" w:space="0" w:color="auto"/>
              <w:right w:val="nil"/>
            </w:tcBorders>
            <w:shd w:val="clear" w:color="auto" w:fill="FFFFFF"/>
          </w:tcPr>
          <w:p w:rsidR="00EE4DB3" w:rsidRPr="00EE4DB3" w:rsidRDefault="00EE4DB3" w:rsidP="006F539E">
            <w:pPr>
              <w:jc w:val="center"/>
              <w:rPr>
                <w:rFonts w:ascii="Calibri" w:hAnsi="Calibri"/>
                <w:sz w:val="22"/>
                <w:szCs w:val="22"/>
              </w:rPr>
            </w:pPr>
          </w:p>
        </w:tc>
      </w:tr>
      <w:tr w:rsidR="00EE4DB3" w:rsidRPr="00EE4DB3" w:rsidTr="006F539E">
        <w:tc>
          <w:tcPr>
            <w:tcW w:w="2886" w:type="dxa"/>
            <w:vMerge/>
          </w:tcPr>
          <w:p w:rsidR="00EE4DB3" w:rsidRPr="00EE4DB3" w:rsidRDefault="00EE4DB3" w:rsidP="006F539E">
            <w:pPr>
              <w:rPr>
                <w:rFonts w:ascii="Calibri" w:hAnsi="Calibri"/>
                <w:sz w:val="22"/>
                <w:szCs w:val="22"/>
              </w:rPr>
            </w:pPr>
          </w:p>
        </w:tc>
        <w:tc>
          <w:tcPr>
            <w:tcW w:w="1802" w:type="dxa"/>
            <w:tcBorders>
              <w:top w:val="single" w:sz="4" w:space="0" w:color="auto"/>
              <w:bottom w:val="single" w:sz="4" w:space="0" w:color="auto"/>
            </w:tcBorders>
            <w:vAlign w:val="center"/>
          </w:tcPr>
          <w:p w:rsidR="00EE4DB3" w:rsidRPr="00EE4DB3" w:rsidRDefault="00EE4DB3" w:rsidP="006F539E">
            <w:pPr>
              <w:rPr>
                <w:rFonts w:ascii="Calibri" w:hAnsi="Calibri"/>
                <w:i/>
                <w:sz w:val="22"/>
                <w:szCs w:val="22"/>
              </w:rPr>
            </w:pPr>
            <w:r w:rsidRPr="00EE4DB3">
              <w:rPr>
                <w:rFonts w:ascii="Calibri" w:hAnsi="Calibri"/>
                <w:i/>
                <w:sz w:val="22"/>
                <w:szCs w:val="22"/>
              </w:rPr>
              <w:t>Children</w:t>
            </w:r>
          </w:p>
        </w:tc>
        <w:tc>
          <w:tcPr>
            <w:tcW w:w="1015" w:type="dxa"/>
            <w:tcBorders>
              <w:top w:val="single" w:sz="4" w:space="0" w:color="auto"/>
              <w:bottom w:val="single" w:sz="4" w:space="0" w:color="auto"/>
            </w:tcBorders>
            <w:shd w:val="clear" w:color="auto" w:fill="F7CAAC"/>
            <w:vAlign w:val="center"/>
          </w:tcPr>
          <w:p w:rsidR="00EE4DB3" w:rsidRPr="00EE4DB3" w:rsidRDefault="00EE4DB3" w:rsidP="006F539E">
            <w:pPr>
              <w:jc w:val="right"/>
              <w:rPr>
                <w:rFonts w:ascii="Calibri" w:hAnsi="Calibri"/>
                <w:i/>
                <w:sz w:val="22"/>
                <w:szCs w:val="22"/>
              </w:rPr>
            </w:pPr>
            <w:r w:rsidRPr="00EE4DB3">
              <w:rPr>
                <w:rFonts w:ascii="Calibri" w:hAnsi="Calibri"/>
                <w:i/>
                <w:sz w:val="22"/>
                <w:szCs w:val="22"/>
              </w:rPr>
              <w:t>4</w:t>
            </w:r>
          </w:p>
        </w:tc>
        <w:tc>
          <w:tcPr>
            <w:tcW w:w="1090" w:type="dxa"/>
            <w:tcBorders>
              <w:top w:val="single" w:sz="4" w:space="0" w:color="auto"/>
              <w:bottom w:val="single" w:sz="4" w:space="0" w:color="auto"/>
            </w:tcBorders>
            <w:shd w:val="clear" w:color="auto" w:fill="C5E0B3"/>
            <w:vAlign w:val="center"/>
          </w:tcPr>
          <w:p w:rsidR="00EE4DB3" w:rsidRPr="00EE4DB3" w:rsidRDefault="00EE4DB3" w:rsidP="006F539E">
            <w:pPr>
              <w:jc w:val="right"/>
              <w:rPr>
                <w:rFonts w:ascii="Calibri" w:hAnsi="Calibri"/>
                <w:i/>
                <w:sz w:val="22"/>
                <w:szCs w:val="22"/>
              </w:rPr>
            </w:pPr>
            <w:r w:rsidRPr="00EE4DB3">
              <w:rPr>
                <w:rFonts w:ascii="Calibri" w:hAnsi="Calibri"/>
                <w:i/>
                <w:sz w:val="22"/>
                <w:szCs w:val="22"/>
              </w:rPr>
              <w:t>2</w:t>
            </w:r>
          </w:p>
        </w:tc>
        <w:tc>
          <w:tcPr>
            <w:tcW w:w="876" w:type="dxa"/>
            <w:tcBorders>
              <w:top w:val="single" w:sz="4" w:space="0" w:color="auto"/>
              <w:bottom w:val="single" w:sz="4" w:space="0" w:color="auto"/>
            </w:tcBorders>
          </w:tcPr>
          <w:p w:rsidR="00EE4DB3" w:rsidRPr="00EE4DB3" w:rsidRDefault="00EE4DB3" w:rsidP="006F539E">
            <w:pPr>
              <w:jc w:val="center"/>
              <w:rPr>
                <w:rFonts w:ascii="Calibri" w:hAnsi="Calibri"/>
                <w:sz w:val="22"/>
                <w:szCs w:val="22"/>
              </w:rPr>
            </w:pPr>
            <w:r w:rsidRPr="00EE4DB3">
              <w:rPr>
                <w:rFonts w:cs="Arial"/>
                <w:noProof/>
                <w:color w:val="FFFFFF"/>
                <w:sz w:val="20"/>
                <w:szCs w:val="20"/>
                <w:lang w:eastAsia="en-GB"/>
              </w:rPr>
              <w:drawing>
                <wp:inline distT="0" distB="0" distL="0" distR="0" wp14:anchorId="23372A18" wp14:editId="16569311">
                  <wp:extent cx="409575" cy="371475"/>
                  <wp:effectExtent l="0" t="0" r="9525" b="9525"/>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09575" cy="371475"/>
                          </a:xfrm>
                          <a:prstGeom prst="rect">
                            <a:avLst/>
                          </a:prstGeom>
                          <a:noFill/>
                          <a:ln>
                            <a:noFill/>
                          </a:ln>
                        </pic:spPr>
                      </pic:pic>
                    </a:graphicData>
                  </a:graphic>
                </wp:inline>
              </w:drawing>
            </w:r>
          </w:p>
        </w:tc>
      </w:tr>
      <w:tr w:rsidR="00EE4DB3" w:rsidRPr="00EE4DB3" w:rsidTr="006F539E">
        <w:tc>
          <w:tcPr>
            <w:tcW w:w="2886" w:type="dxa"/>
            <w:vMerge/>
          </w:tcPr>
          <w:p w:rsidR="00EE4DB3" w:rsidRPr="00EE4DB3" w:rsidRDefault="00EE4DB3" w:rsidP="006F539E">
            <w:pPr>
              <w:rPr>
                <w:rFonts w:ascii="Calibri" w:hAnsi="Calibri"/>
                <w:sz w:val="22"/>
                <w:szCs w:val="22"/>
              </w:rPr>
            </w:pPr>
          </w:p>
        </w:tc>
        <w:tc>
          <w:tcPr>
            <w:tcW w:w="1802" w:type="dxa"/>
            <w:tcBorders>
              <w:bottom w:val="single" w:sz="4" w:space="0" w:color="auto"/>
            </w:tcBorders>
            <w:vAlign w:val="center"/>
          </w:tcPr>
          <w:p w:rsidR="00EE4DB3" w:rsidRPr="00EE4DB3" w:rsidRDefault="00EE4DB3" w:rsidP="006F539E">
            <w:pPr>
              <w:rPr>
                <w:rFonts w:ascii="Calibri" w:hAnsi="Calibri"/>
                <w:i/>
                <w:sz w:val="22"/>
                <w:szCs w:val="22"/>
              </w:rPr>
            </w:pPr>
            <w:r w:rsidRPr="00EE4DB3">
              <w:rPr>
                <w:rFonts w:ascii="Calibri" w:hAnsi="Calibri"/>
                <w:i/>
                <w:sz w:val="22"/>
                <w:szCs w:val="22"/>
              </w:rPr>
              <w:t>Adults</w:t>
            </w:r>
          </w:p>
        </w:tc>
        <w:tc>
          <w:tcPr>
            <w:tcW w:w="1015" w:type="dxa"/>
            <w:tcBorders>
              <w:bottom w:val="single" w:sz="4" w:space="0" w:color="auto"/>
            </w:tcBorders>
            <w:shd w:val="clear" w:color="auto" w:fill="F7CAAC"/>
            <w:vAlign w:val="center"/>
          </w:tcPr>
          <w:p w:rsidR="00EE4DB3" w:rsidRPr="00EE4DB3" w:rsidRDefault="00EE4DB3" w:rsidP="006F539E">
            <w:pPr>
              <w:jc w:val="right"/>
              <w:rPr>
                <w:rFonts w:ascii="Calibri" w:hAnsi="Calibri"/>
                <w:i/>
                <w:sz w:val="22"/>
                <w:szCs w:val="22"/>
              </w:rPr>
            </w:pPr>
            <w:r w:rsidRPr="00EE4DB3">
              <w:rPr>
                <w:rFonts w:ascii="Calibri" w:hAnsi="Calibri"/>
                <w:i/>
                <w:sz w:val="22"/>
                <w:szCs w:val="22"/>
              </w:rPr>
              <w:t>15</w:t>
            </w:r>
          </w:p>
        </w:tc>
        <w:tc>
          <w:tcPr>
            <w:tcW w:w="1090" w:type="dxa"/>
            <w:tcBorders>
              <w:bottom w:val="single" w:sz="4" w:space="0" w:color="auto"/>
            </w:tcBorders>
            <w:shd w:val="clear" w:color="auto" w:fill="C5E0B3"/>
            <w:vAlign w:val="center"/>
          </w:tcPr>
          <w:p w:rsidR="00EE4DB3" w:rsidRPr="00EE4DB3" w:rsidRDefault="00EE4DB3" w:rsidP="006F539E">
            <w:pPr>
              <w:jc w:val="right"/>
              <w:rPr>
                <w:rFonts w:ascii="Calibri" w:hAnsi="Calibri"/>
                <w:i/>
                <w:sz w:val="22"/>
                <w:szCs w:val="22"/>
              </w:rPr>
            </w:pPr>
            <w:r w:rsidRPr="00EE4DB3">
              <w:rPr>
                <w:rFonts w:ascii="Calibri" w:hAnsi="Calibri"/>
                <w:i/>
                <w:sz w:val="22"/>
                <w:szCs w:val="22"/>
              </w:rPr>
              <w:t>11</w:t>
            </w:r>
          </w:p>
        </w:tc>
        <w:tc>
          <w:tcPr>
            <w:tcW w:w="876" w:type="dxa"/>
            <w:tcBorders>
              <w:bottom w:val="single" w:sz="4" w:space="0" w:color="auto"/>
            </w:tcBorders>
          </w:tcPr>
          <w:p w:rsidR="00EE4DB3" w:rsidRPr="00EE4DB3" w:rsidRDefault="00EE4DB3" w:rsidP="006F539E">
            <w:pPr>
              <w:jc w:val="center"/>
              <w:rPr>
                <w:rFonts w:ascii="Calibri" w:hAnsi="Calibri"/>
                <w:sz w:val="22"/>
                <w:szCs w:val="22"/>
              </w:rPr>
            </w:pPr>
            <w:r w:rsidRPr="00EE4DB3">
              <w:rPr>
                <w:rFonts w:cs="Arial"/>
                <w:noProof/>
                <w:color w:val="FFFFFF"/>
                <w:sz w:val="20"/>
                <w:szCs w:val="20"/>
                <w:lang w:eastAsia="en-GB"/>
              </w:rPr>
              <w:drawing>
                <wp:inline distT="0" distB="0" distL="0" distR="0" wp14:anchorId="4FFD0EF6" wp14:editId="3A33D8BF">
                  <wp:extent cx="409575" cy="371475"/>
                  <wp:effectExtent l="0" t="0" r="9525" b="9525"/>
                  <wp:docPr id="21" name="Picture 2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09575" cy="371475"/>
                          </a:xfrm>
                          <a:prstGeom prst="rect">
                            <a:avLst/>
                          </a:prstGeom>
                          <a:noFill/>
                          <a:ln>
                            <a:noFill/>
                          </a:ln>
                        </pic:spPr>
                      </pic:pic>
                    </a:graphicData>
                  </a:graphic>
                </wp:inline>
              </w:drawing>
            </w:r>
          </w:p>
        </w:tc>
      </w:tr>
      <w:tr w:rsidR="00EE4DB3" w:rsidRPr="00EE4DB3" w:rsidTr="006F539E">
        <w:tc>
          <w:tcPr>
            <w:tcW w:w="2886" w:type="dxa"/>
            <w:vMerge/>
            <w:tcBorders>
              <w:right w:val="nil"/>
            </w:tcBorders>
          </w:tcPr>
          <w:p w:rsidR="00EE4DB3" w:rsidRPr="00EE4DB3" w:rsidRDefault="00EE4DB3" w:rsidP="006F539E">
            <w:pPr>
              <w:rPr>
                <w:rFonts w:ascii="Calibri" w:hAnsi="Calibri"/>
                <w:sz w:val="22"/>
                <w:szCs w:val="22"/>
              </w:rPr>
            </w:pPr>
          </w:p>
        </w:tc>
        <w:tc>
          <w:tcPr>
            <w:tcW w:w="1802" w:type="dxa"/>
            <w:tcBorders>
              <w:top w:val="single" w:sz="4" w:space="0" w:color="auto"/>
              <w:left w:val="nil"/>
              <w:bottom w:val="single" w:sz="4" w:space="0" w:color="auto"/>
              <w:right w:val="nil"/>
            </w:tcBorders>
          </w:tcPr>
          <w:p w:rsidR="00EE4DB3" w:rsidRPr="00EE4DB3" w:rsidRDefault="00EE4DB3" w:rsidP="006F539E">
            <w:pPr>
              <w:rPr>
                <w:rFonts w:ascii="Calibri" w:hAnsi="Calibri"/>
                <w:sz w:val="22"/>
                <w:szCs w:val="22"/>
              </w:rPr>
            </w:pPr>
          </w:p>
        </w:tc>
        <w:tc>
          <w:tcPr>
            <w:tcW w:w="1015" w:type="dxa"/>
            <w:tcBorders>
              <w:top w:val="single" w:sz="4" w:space="0" w:color="auto"/>
              <w:left w:val="nil"/>
              <w:bottom w:val="single" w:sz="4" w:space="0" w:color="auto"/>
              <w:right w:val="nil"/>
            </w:tcBorders>
          </w:tcPr>
          <w:p w:rsidR="00EE4DB3" w:rsidRPr="00EE4DB3" w:rsidRDefault="00EE4DB3" w:rsidP="006F539E">
            <w:pPr>
              <w:jc w:val="right"/>
              <w:rPr>
                <w:rFonts w:ascii="Calibri" w:hAnsi="Calibri"/>
                <w:sz w:val="22"/>
                <w:szCs w:val="22"/>
              </w:rPr>
            </w:pPr>
          </w:p>
        </w:tc>
        <w:tc>
          <w:tcPr>
            <w:tcW w:w="1090" w:type="dxa"/>
            <w:tcBorders>
              <w:top w:val="single" w:sz="4" w:space="0" w:color="auto"/>
              <w:left w:val="nil"/>
              <w:bottom w:val="single" w:sz="4" w:space="0" w:color="auto"/>
              <w:right w:val="nil"/>
            </w:tcBorders>
          </w:tcPr>
          <w:p w:rsidR="00EE4DB3" w:rsidRPr="00EE4DB3" w:rsidRDefault="00EE4DB3" w:rsidP="006F539E">
            <w:pPr>
              <w:jc w:val="right"/>
              <w:rPr>
                <w:rFonts w:ascii="Calibri" w:hAnsi="Calibri"/>
                <w:sz w:val="22"/>
                <w:szCs w:val="22"/>
              </w:rPr>
            </w:pPr>
          </w:p>
        </w:tc>
        <w:tc>
          <w:tcPr>
            <w:tcW w:w="876" w:type="dxa"/>
            <w:tcBorders>
              <w:top w:val="single" w:sz="4" w:space="0" w:color="auto"/>
              <w:left w:val="nil"/>
              <w:bottom w:val="single" w:sz="4" w:space="0" w:color="auto"/>
              <w:right w:val="nil"/>
            </w:tcBorders>
          </w:tcPr>
          <w:p w:rsidR="00EE4DB3" w:rsidRPr="00EE4DB3" w:rsidRDefault="00EE4DB3" w:rsidP="006F539E">
            <w:pPr>
              <w:jc w:val="center"/>
              <w:rPr>
                <w:rFonts w:ascii="Calibri" w:hAnsi="Calibri"/>
                <w:sz w:val="22"/>
                <w:szCs w:val="22"/>
              </w:rPr>
            </w:pPr>
          </w:p>
        </w:tc>
      </w:tr>
      <w:tr w:rsidR="00EE4DB3" w:rsidRPr="00194CE0" w:rsidTr="00194CE0">
        <w:trPr>
          <w:trHeight w:val="681"/>
        </w:trPr>
        <w:tc>
          <w:tcPr>
            <w:tcW w:w="2886" w:type="dxa"/>
            <w:vMerge/>
          </w:tcPr>
          <w:p w:rsidR="00EE4DB3" w:rsidRPr="00EE4DB3" w:rsidRDefault="00EE4DB3" w:rsidP="006F539E">
            <w:pPr>
              <w:rPr>
                <w:rFonts w:ascii="Calibri" w:hAnsi="Calibri"/>
                <w:sz w:val="22"/>
                <w:szCs w:val="22"/>
              </w:rPr>
            </w:pPr>
          </w:p>
        </w:tc>
        <w:tc>
          <w:tcPr>
            <w:tcW w:w="1802" w:type="dxa"/>
            <w:tcBorders>
              <w:top w:val="single" w:sz="4" w:space="0" w:color="auto"/>
            </w:tcBorders>
            <w:vAlign w:val="center"/>
          </w:tcPr>
          <w:p w:rsidR="00EE4DB3" w:rsidRPr="00194CE0" w:rsidRDefault="00EE4DB3" w:rsidP="006F539E">
            <w:pPr>
              <w:rPr>
                <w:rFonts w:ascii="Calibri" w:hAnsi="Calibri"/>
                <w:b/>
                <w:sz w:val="22"/>
                <w:szCs w:val="22"/>
              </w:rPr>
            </w:pPr>
            <w:r w:rsidRPr="00194CE0">
              <w:rPr>
                <w:rFonts w:ascii="Calibri" w:hAnsi="Calibri"/>
                <w:b/>
                <w:sz w:val="22"/>
                <w:szCs w:val="22"/>
              </w:rPr>
              <w:t>Formal Referrals</w:t>
            </w:r>
          </w:p>
        </w:tc>
        <w:tc>
          <w:tcPr>
            <w:tcW w:w="1015" w:type="dxa"/>
            <w:tcBorders>
              <w:top w:val="single" w:sz="4" w:space="0" w:color="auto"/>
            </w:tcBorders>
            <w:shd w:val="clear" w:color="auto" w:fill="F7CAAC"/>
            <w:vAlign w:val="center"/>
          </w:tcPr>
          <w:p w:rsidR="00EE4DB3" w:rsidRPr="00194CE0" w:rsidRDefault="00EE4DB3" w:rsidP="006F539E">
            <w:pPr>
              <w:jc w:val="right"/>
              <w:rPr>
                <w:rFonts w:ascii="Calibri" w:hAnsi="Calibri"/>
                <w:b/>
                <w:sz w:val="22"/>
                <w:szCs w:val="22"/>
              </w:rPr>
            </w:pPr>
            <w:r w:rsidRPr="00194CE0">
              <w:rPr>
                <w:rFonts w:ascii="Calibri" w:hAnsi="Calibri"/>
                <w:b/>
                <w:sz w:val="22"/>
                <w:szCs w:val="22"/>
              </w:rPr>
              <w:t>5</w:t>
            </w:r>
          </w:p>
        </w:tc>
        <w:tc>
          <w:tcPr>
            <w:tcW w:w="1090" w:type="dxa"/>
            <w:tcBorders>
              <w:top w:val="single" w:sz="4" w:space="0" w:color="auto"/>
            </w:tcBorders>
            <w:shd w:val="clear" w:color="auto" w:fill="C5E0B3"/>
            <w:vAlign w:val="center"/>
          </w:tcPr>
          <w:p w:rsidR="00EE4DB3" w:rsidRPr="00194CE0" w:rsidRDefault="00EE4DB3" w:rsidP="006F539E">
            <w:pPr>
              <w:jc w:val="right"/>
              <w:rPr>
                <w:rFonts w:ascii="Calibri" w:hAnsi="Calibri"/>
                <w:b/>
                <w:sz w:val="22"/>
                <w:szCs w:val="22"/>
              </w:rPr>
            </w:pPr>
            <w:r w:rsidRPr="00194CE0">
              <w:rPr>
                <w:rFonts w:ascii="Calibri" w:hAnsi="Calibri"/>
                <w:b/>
                <w:sz w:val="22"/>
                <w:szCs w:val="22"/>
              </w:rPr>
              <w:t>5</w:t>
            </w:r>
          </w:p>
        </w:tc>
        <w:tc>
          <w:tcPr>
            <w:tcW w:w="876" w:type="dxa"/>
            <w:tcBorders>
              <w:top w:val="single" w:sz="4" w:space="0" w:color="auto"/>
            </w:tcBorders>
          </w:tcPr>
          <w:p w:rsidR="00EE4DB3" w:rsidRPr="00194CE0" w:rsidRDefault="00EE4DB3" w:rsidP="006F539E">
            <w:pPr>
              <w:jc w:val="center"/>
              <w:rPr>
                <w:rFonts w:ascii="Calibri" w:hAnsi="Calibri"/>
                <w:b/>
                <w:sz w:val="22"/>
                <w:szCs w:val="22"/>
              </w:rPr>
            </w:pPr>
            <w:r w:rsidRPr="00194CE0">
              <w:rPr>
                <w:rFonts w:cs="Arial"/>
                <w:noProof/>
                <w:color w:val="FFFFFF"/>
                <w:sz w:val="20"/>
                <w:szCs w:val="20"/>
                <w:lang w:eastAsia="en-GB"/>
              </w:rPr>
              <w:drawing>
                <wp:inline distT="0" distB="0" distL="0" distR="0" wp14:anchorId="0C18E4F1" wp14:editId="321398AA">
                  <wp:extent cx="409575" cy="361950"/>
                  <wp:effectExtent l="4763" t="0" r="0" b="0"/>
                  <wp:docPr id="22" name="Picture 2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flipV="1">
                            <a:off x="0" y="0"/>
                            <a:ext cx="409575" cy="361950"/>
                          </a:xfrm>
                          <a:prstGeom prst="rect">
                            <a:avLst/>
                          </a:prstGeom>
                          <a:noFill/>
                          <a:ln>
                            <a:noFill/>
                          </a:ln>
                        </pic:spPr>
                      </pic:pic>
                    </a:graphicData>
                  </a:graphic>
                </wp:inline>
              </w:drawing>
            </w:r>
          </w:p>
        </w:tc>
      </w:tr>
    </w:tbl>
    <w:p w:rsidR="00EE4DB3" w:rsidRPr="00EE4DB3" w:rsidRDefault="005A68C3" w:rsidP="00EE4DB3">
      <w:pPr>
        <w:spacing w:before="120" w:after="120" w:line="259" w:lineRule="auto"/>
        <w:jc w:val="both"/>
        <w:rPr>
          <w:rFonts w:ascii="Calibri" w:hAnsi="Calibri" w:cs="Calibri"/>
          <w:sz w:val="22"/>
          <w:szCs w:val="22"/>
        </w:rPr>
      </w:pPr>
      <w:r w:rsidRPr="00194CE0">
        <w:rPr>
          <w:rFonts w:ascii="Calibri" w:hAnsi="Calibri" w:cs="Calibri"/>
          <w:sz w:val="22"/>
          <w:szCs w:val="22"/>
        </w:rPr>
        <w:t xml:space="preserve">The reduction </w:t>
      </w:r>
      <w:r w:rsidRPr="009F48B7">
        <w:rPr>
          <w:rFonts w:ascii="Calibri" w:hAnsi="Calibri" w:cs="Calibri"/>
          <w:sz w:val="22"/>
          <w:szCs w:val="22"/>
        </w:rPr>
        <w:t xml:space="preserve">in </w:t>
      </w:r>
      <w:r w:rsidR="006C4E5F" w:rsidRPr="009F48B7">
        <w:rPr>
          <w:rFonts w:ascii="Calibri" w:hAnsi="Calibri" w:cs="Calibri"/>
          <w:sz w:val="22"/>
          <w:szCs w:val="22"/>
        </w:rPr>
        <w:t xml:space="preserve">concerns raised </w:t>
      </w:r>
      <w:r w:rsidR="00EE4DB3" w:rsidRPr="009F48B7">
        <w:rPr>
          <w:rFonts w:ascii="Calibri" w:hAnsi="Calibri" w:cs="Calibri"/>
          <w:sz w:val="22"/>
          <w:szCs w:val="22"/>
        </w:rPr>
        <w:t>reflects the reduced contact with children during the lockdown. However it is recognised that once</w:t>
      </w:r>
      <w:r w:rsidR="00EE4DB3" w:rsidRPr="00EE4DB3">
        <w:rPr>
          <w:rFonts w:ascii="Calibri" w:hAnsi="Calibri" w:cs="Calibri"/>
          <w:sz w:val="22"/>
          <w:szCs w:val="22"/>
        </w:rPr>
        <w:t xml:space="preserve"> lockdown ends there may be an increase in concerns being raised and the need to make more referrals.</w:t>
      </w:r>
    </w:p>
    <w:p w:rsidR="00253D21" w:rsidRPr="007667D3" w:rsidRDefault="00253D21" w:rsidP="00253D21">
      <w:pPr>
        <w:spacing w:before="120" w:after="120"/>
        <w:jc w:val="both"/>
        <w:rPr>
          <w:rFonts w:ascii="Calibri" w:hAnsi="Calibri" w:cs="Calibri"/>
          <w:sz w:val="22"/>
          <w:szCs w:val="22"/>
        </w:rPr>
      </w:pPr>
      <w:r w:rsidRPr="009B342A">
        <w:rPr>
          <w:rFonts w:ascii="Calibri" w:hAnsi="Calibri" w:cs="Calibri"/>
          <w:sz w:val="22"/>
          <w:szCs w:val="22"/>
        </w:rPr>
        <w:t xml:space="preserve">The Council also has a Public Sector Equality Duty under the Equality Act 2010. As part of this we produce an annual Statement showing how we are meeting our obligations. This Statement also helps our customers, staff, the Equality and Human Rights Commission, regulators and other interested parties to assess our equality performance and our compliance with equality </w:t>
      </w:r>
      <w:r w:rsidRPr="007667D3">
        <w:rPr>
          <w:rFonts w:ascii="Calibri" w:hAnsi="Calibri" w:cs="Calibri"/>
          <w:sz w:val="22"/>
          <w:szCs w:val="22"/>
        </w:rPr>
        <w:t>legislation. The latest Statement was published on 31 January 202</w:t>
      </w:r>
      <w:r w:rsidR="007667D3" w:rsidRPr="007667D3">
        <w:rPr>
          <w:rFonts w:ascii="Calibri" w:hAnsi="Calibri" w:cs="Calibri"/>
          <w:sz w:val="22"/>
          <w:szCs w:val="22"/>
        </w:rPr>
        <w:t>1</w:t>
      </w:r>
      <w:r w:rsidRPr="007667D3">
        <w:rPr>
          <w:rFonts w:ascii="Calibri" w:hAnsi="Calibri" w:cs="Calibri"/>
          <w:sz w:val="22"/>
          <w:szCs w:val="22"/>
        </w:rPr>
        <w:t xml:space="preserve"> and can be found on the Council’s website. </w:t>
      </w:r>
    </w:p>
    <w:p w:rsidR="00253D21" w:rsidRPr="009B342A" w:rsidRDefault="00253D21" w:rsidP="00253D21">
      <w:pPr>
        <w:spacing w:before="120" w:after="120"/>
        <w:jc w:val="both"/>
        <w:rPr>
          <w:rFonts w:ascii="Calibri" w:hAnsi="Calibri" w:cs="Calibri"/>
          <w:sz w:val="22"/>
          <w:szCs w:val="22"/>
        </w:rPr>
      </w:pPr>
      <w:r w:rsidRPr="009B342A">
        <w:rPr>
          <w:rFonts w:ascii="Calibri" w:hAnsi="Calibri" w:cs="Calibri"/>
          <w:sz w:val="22"/>
          <w:szCs w:val="22"/>
        </w:rPr>
        <w:t xml:space="preserve">The Council has an Equality and Diversity Policy which was approved by Full Council in 2018. There is also a ‘handy’ guide </w:t>
      </w:r>
      <w:r w:rsidR="009D7DA2">
        <w:rPr>
          <w:rFonts w:ascii="Calibri" w:hAnsi="Calibri" w:cs="Calibri"/>
          <w:sz w:val="22"/>
          <w:szCs w:val="22"/>
        </w:rPr>
        <w:t xml:space="preserve">on the Council’s intranet </w:t>
      </w:r>
      <w:r w:rsidRPr="009B342A">
        <w:rPr>
          <w:rFonts w:ascii="Calibri" w:hAnsi="Calibri" w:cs="Calibri"/>
          <w:sz w:val="22"/>
          <w:szCs w:val="22"/>
        </w:rPr>
        <w:t xml:space="preserve">to help both Members and officers to understand equality, diversity and inclusion and how these apply in the workplace.  </w:t>
      </w:r>
    </w:p>
    <w:p w:rsidR="00253D21" w:rsidRPr="007F5415" w:rsidRDefault="00253D21" w:rsidP="00253D21">
      <w:pPr>
        <w:spacing w:before="120" w:after="120"/>
        <w:jc w:val="both"/>
        <w:rPr>
          <w:rFonts w:ascii="Calibri" w:hAnsi="Calibri" w:cs="Calibri"/>
          <w:sz w:val="22"/>
          <w:szCs w:val="22"/>
          <w:highlight w:val="yellow"/>
        </w:rPr>
      </w:pPr>
      <w:r w:rsidRPr="005B165C">
        <w:rPr>
          <w:rFonts w:ascii="Calibri" w:hAnsi="Calibri" w:cs="Calibri"/>
          <w:sz w:val="22"/>
          <w:szCs w:val="22"/>
        </w:rPr>
        <w:t>The Council publishes a gender pay gap report in line with a new legal requirement for all public sector bodies. This report shows the difference between the average earnings of men and women expressed as a percentage of men’s earnings. Used to its full potential, gender pay gap reporting may identify the levels of equality in the workplace, female and male participation, and how effectively talent is being maximised</w:t>
      </w:r>
      <w:r w:rsidRPr="0099083E">
        <w:rPr>
          <w:rFonts w:ascii="Calibri" w:hAnsi="Calibri" w:cs="Calibri"/>
          <w:sz w:val="22"/>
          <w:szCs w:val="22"/>
        </w:rPr>
        <w:t>. The gender pay gap figures for 20</w:t>
      </w:r>
      <w:r w:rsidR="00E90EB3" w:rsidRPr="0099083E">
        <w:rPr>
          <w:rFonts w:ascii="Calibri" w:hAnsi="Calibri" w:cs="Calibri"/>
          <w:sz w:val="22"/>
          <w:szCs w:val="22"/>
        </w:rPr>
        <w:t>20</w:t>
      </w:r>
      <w:r w:rsidRPr="0099083E">
        <w:rPr>
          <w:rFonts w:ascii="Calibri" w:hAnsi="Calibri" w:cs="Calibri"/>
          <w:sz w:val="22"/>
          <w:szCs w:val="22"/>
        </w:rPr>
        <w:t>/2</w:t>
      </w:r>
      <w:r w:rsidR="00E90EB3" w:rsidRPr="0099083E">
        <w:rPr>
          <w:rFonts w:ascii="Calibri" w:hAnsi="Calibri" w:cs="Calibri"/>
          <w:sz w:val="22"/>
          <w:szCs w:val="22"/>
        </w:rPr>
        <w:t>1</w:t>
      </w:r>
      <w:r w:rsidRPr="0099083E">
        <w:rPr>
          <w:rFonts w:ascii="Calibri" w:hAnsi="Calibri" w:cs="Calibri"/>
          <w:sz w:val="22"/>
          <w:szCs w:val="22"/>
        </w:rPr>
        <w:t xml:space="preserve"> compared with 201</w:t>
      </w:r>
      <w:r w:rsidR="00E90EB3" w:rsidRPr="0099083E">
        <w:rPr>
          <w:rFonts w:ascii="Calibri" w:hAnsi="Calibri" w:cs="Calibri"/>
          <w:sz w:val="22"/>
          <w:szCs w:val="22"/>
        </w:rPr>
        <w:t>9</w:t>
      </w:r>
      <w:r w:rsidRPr="0099083E">
        <w:rPr>
          <w:rFonts w:ascii="Calibri" w:hAnsi="Calibri" w:cs="Calibri"/>
          <w:sz w:val="22"/>
          <w:szCs w:val="22"/>
        </w:rPr>
        <w:t>/</w:t>
      </w:r>
      <w:r w:rsidR="00E90EB3" w:rsidRPr="0099083E">
        <w:rPr>
          <w:rFonts w:ascii="Calibri" w:hAnsi="Calibri" w:cs="Calibri"/>
          <w:sz w:val="22"/>
          <w:szCs w:val="22"/>
        </w:rPr>
        <w:t>20</w:t>
      </w:r>
      <w:r w:rsidRPr="0099083E">
        <w:rPr>
          <w:rFonts w:ascii="Calibri" w:hAnsi="Calibri" w:cs="Calibri"/>
          <w:sz w:val="22"/>
          <w:szCs w:val="22"/>
        </w:rPr>
        <w:t xml:space="preserve"> are shown below:</w:t>
      </w:r>
    </w:p>
    <w:tbl>
      <w:tblPr>
        <w:tblStyle w:val="TableGrid1"/>
        <w:tblW w:w="0" w:type="auto"/>
        <w:tblLook w:val="04A0" w:firstRow="1" w:lastRow="0" w:firstColumn="1" w:lastColumn="0" w:noHBand="0" w:noVBand="1"/>
      </w:tblPr>
      <w:tblGrid>
        <w:gridCol w:w="2890"/>
        <w:gridCol w:w="1805"/>
        <w:gridCol w:w="1016"/>
        <w:gridCol w:w="1091"/>
        <w:gridCol w:w="879"/>
      </w:tblGrid>
      <w:tr w:rsidR="00253D21" w:rsidRPr="00465630" w:rsidTr="00465630">
        <w:trPr>
          <w:trHeight w:val="224"/>
        </w:trPr>
        <w:tc>
          <w:tcPr>
            <w:tcW w:w="2890" w:type="dxa"/>
            <w:vMerge w:val="restart"/>
          </w:tcPr>
          <w:p w:rsidR="00253D21" w:rsidRPr="00465630" w:rsidRDefault="00253D21" w:rsidP="003247EA">
            <w:pPr>
              <w:rPr>
                <w:rFonts w:cs="Arial"/>
                <w:noProof/>
                <w:color w:val="1A0DAB"/>
                <w:sz w:val="4"/>
                <w:szCs w:val="4"/>
                <w:lang w:eastAsia="en-GB"/>
              </w:rPr>
            </w:pPr>
          </w:p>
          <w:p w:rsidR="00253D21" w:rsidRPr="00465630" w:rsidRDefault="00253D21" w:rsidP="003247EA">
            <w:pPr>
              <w:rPr>
                <w:rFonts w:ascii="Calibri" w:hAnsi="Calibri"/>
                <w:sz w:val="22"/>
                <w:szCs w:val="22"/>
              </w:rPr>
            </w:pPr>
            <w:r w:rsidRPr="00465630">
              <w:rPr>
                <w:rFonts w:ascii="Calibri" w:hAnsi="Calibri"/>
                <w:noProof/>
                <w:sz w:val="22"/>
                <w:szCs w:val="22"/>
                <w:lang w:eastAsia="en-GB"/>
              </w:rPr>
              <w:drawing>
                <wp:inline distT="0" distB="0" distL="0" distR="0" wp14:anchorId="351E578E" wp14:editId="6811B0BC">
                  <wp:extent cx="1647825" cy="20193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72528" cy="2049572"/>
                          </a:xfrm>
                          <a:prstGeom prst="rect">
                            <a:avLst/>
                          </a:prstGeom>
                        </pic:spPr>
                      </pic:pic>
                    </a:graphicData>
                  </a:graphic>
                </wp:inline>
              </w:drawing>
            </w:r>
          </w:p>
        </w:tc>
        <w:tc>
          <w:tcPr>
            <w:tcW w:w="1805" w:type="dxa"/>
            <w:tcBorders>
              <w:bottom w:val="single" w:sz="4" w:space="0" w:color="auto"/>
            </w:tcBorders>
          </w:tcPr>
          <w:p w:rsidR="00253D21" w:rsidRPr="00465630" w:rsidRDefault="00253D21" w:rsidP="003247EA">
            <w:pPr>
              <w:jc w:val="center"/>
              <w:rPr>
                <w:rFonts w:ascii="Calibri" w:hAnsi="Calibri"/>
                <w:b/>
                <w:sz w:val="22"/>
                <w:szCs w:val="22"/>
              </w:rPr>
            </w:pPr>
            <w:r w:rsidRPr="00465630">
              <w:rPr>
                <w:rFonts w:ascii="Calibri" w:hAnsi="Calibri"/>
                <w:b/>
                <w:sz w:val="22"/>
                <w:szCs w:val="22"/>
              </w:rPr>
              <w:t>Area</w:t>
            </w:r>
          </w:p>
        </w:tc>
        <w:tc>
          <w:tcPr>
            <w:tcW w:w="1016" w:type="dxa"/>
            <w:tcBorders>
              <w:bottom w:val="single" w:sz="4" w:space="0" w:color="auto"/>
            </w:tcBorders>
            <w:shd w:val="clear" w:color="auto" w:fill="F7CAAC"/>
          </w:tcPr>
          <w:p w:rsidR="00253D21" w:rsidRPr="00465630" w:rsidRDefault="00253D21" w:rsidP="00E90EB3">
            <w:pPr>
              <w:jc w:val="center"/>
              <w:rPr>
                <w:rFonts w:ascii="Calibri" w:hAnsi="Calibri"/>
                <w:b/>
                <w:sz w:val="22"/>
                <w:szCs w:val="22"/>
              </w:rPr>
            </w:pPr>
            <w:r w:rsidRPr="00465630">
              <w:rPr>
                <w:rFonts w:ascii="Calibri" w:hAnsi="Calibri"/>
                <w:b/>
                <w:sz w:val="22"/>
                <w:szCs w:val="22"/>
              </w:rPr>
              <w:t>201</w:t>
            </w:r>
            <w:r w:rsidR="00E90EB3" w:rsidRPr="00465630">
              <w:rPr>
                <w:rFonts w:ascii="Calibri" w:hAnsi="Calibri"/>
                <w:b/>
                <w:sz w:val="22"/>
                <w:szCs w:val="22"/>
              </w:rPr>
              <w:t>9</w:t>
            </w:r>
            <w:r w:rsidRPr="00465630">
              <w:rPr>
                <w:rFonts w:ascii="Calibri" w:hAnsi="Calibri"/>
                <w:b/>
                <w:sz w:val="22"/>
                <w:szCs w:val="22"/>
              </w:rPr>
              <w:t>/</w:t>
            </w:r>
            <w:r w:rsidR="00E90EB3" w:rsidRPr="00465630">
              <w:rPr>
                <w:rFonts w:ascii="Calibri" w:hAnsi="Calibri"/>
                <w:b/>
                <w:sz w:val="22"/>
                <w:szCs w:val="22"/>
              </w:rPr>
              <w:t>20</w:t>
            </w:r>
          </w:p>
        </w:tc>
        <w:tc>
          <w:tcPr>
            <w:tcW w:w="1091" w:type="dxa"/>
            <w:tcBorders>
              <w:bottom w:val="single" w:sz="4" w:space="0" w:color="auto"/>
            </w:tcBorders>
            <w:shd w:val="clear" w:color="auto" w:fill="C5E0B3"/>
          </w:tcPr>
          <w:p w:rsidR="00253D21" w:rsidRPr="00465630" w:rsidRDefault="00253D21" w:rsidP="00E90EB3">
            <w:pPr>
              <w:jc w:val="center"/>
              <w:rPr>
                <w:rFonts w:ascii="Calibri" w:hAnsi="Calibri"/>
                <w:b/>
                <w:sz w:val="22"/>
                <w:szCs w:val="22"/>
              </w:rPr>
            </w:pPr>
            <w:r w:rsidRPr="00465630">
              <w:rPr>
                <w:rFonts w:ascii="Calibri" w:hAnsi="Calibri"/>
                <w:b/>
                <w:sz w:val="22"/>
                <w:szCs w:val="22"/>
              </w:rPr>
              <w:t>20</w:t>
            </w:r>
            <w:r w:rsidR="00E90EB3" w:rsidRPr="00465630">
              <w:rPr>
                <w:rFonts w:ascii="Calibri" w:hAnsi="Calibri"/>
                <w:b/>
                <w:sz w:val="22"/>
                <w:szCs w:val="22"/>
              </w:rPr>
              <w:t>20</w:t>
            </w:r>
            <w:r w:rsidRPr="00465630">
              <w:rPr>
                <w:rFonts w:ascii="Calibri" w:hAnsi="Calibri"/>
                <w:b/>
                <w:sz w:val="22"/>
                <w:szCs w:val="22"/>
              </w:rPr>
              <w:t>/2</w:t>
            </w:r>
            <w:r w:rsidR="00E90EB3" w:rsidRPr="00465630">
              <w:rPr>
                <w:rFonts w:ascii="Calibri" w:hAnsi="Calibri"/>
                <w:b/>
                <w:sz w:val="22"/>
                <w:szCs w:val="22"/>
              </w:rPr>
              <w:t>1</w:t>
            </w:r>
          </w:p>
        </w:tc>
        <w:tc>
          <w:tcPr>
            <w:tcW w:w="877" w:type="dxa"/>
            <w:tcBorders>
              <w:bottom w:val="single" w:sz="4" w:space="0" w:color="auto"/>
            </w:tcBorders>
          </w:tcPr>
          <w:p w:rsidR="00253D21" w:rsidRPr="00465630" w:rsidRDefault="00253D21" w:rsidP="003247EA">
            <w:pPr>
              <w:jc w:val="center"/>
              <w:rPr>
                <w:rFonts w:ascii="Calibri" w:hAnsi="Calibri"/>
                <w:b/>
                <w:sz w:val="22"/>
                <w:szCs w:val="22"/>
              </w:rPr>
            </w:pPr>
            <w:r w:rsidRPr="00465630">
              <w:rPr>
                <w:rFonts w:ascii="Calibri" w:hAnsi="Calibri"/>
                <w:b/>
                <w:sz w:val="22"/>
                <w:szCs w:val="22"/>
              </w:rPr>
              <w:t>Trend</w:t>
            </w:r>
          </w:p>
        </w:tc>
      </w:tr>
      <w:tr w:rsidR="00253D21" w:rsidRPr="00465630" w:rsidTr="00465630">
        <w:trPr>
          <w:trHeight w:val="247"/>
        </w:trPr>
        <w:tc>
          <w:tcPr>
            <w:tcW w:w="2890" w:type="dxa"/>
            <w:vMerge/>
          </w:tcPr>
          <w:p w:rsidR="00253D21" w:rsidRPr="00465630" w:rsidRDefault="00253D21" w:rsidP="003247EA">
            <w:pPr>
              <w:rPr>
                <w:rFonts w:ascii="Calibri" w:hAnsi="Calibri"/>
                <w:sz w:val="22"/>
                <w:szCs w:val="22"/>
              </w:rPr>
            </w:pPr>
          </w:p>
        </w:tc>
        <w:tc>
          <w:tcPr>
            <w:tcW w:w="4791" w:type="dxa"/>
            <w:gridSpan w:val="4"/>
            <w:tcBorders>
              <w:bottom w:val="single" w:sz="4" w:space="0" w:color="auto"/>
            </w:tcBorders>
            <w:shd w:val="clear" w:color="auto" w:fill="00B0F0"/>
            <w:vAlign w:val="center"/>
          </w:tcPr>
          <w:p w:rsidR="00253D21" w:rsidRPr="00465630" w:rsidRDefault="00253D21" w:rsidP="003247EA">
            <w:pPr>
              <w:jc w:val="center"/>
              <w:rPr>
                <w:rFonts w:cs="Arial"/>
                <w:noProof/>
                <w:color w:val="FFFFFF"/>
                <w:sz w:val="20"/>
                <w:szCs w:val="20"/>
                <w:lang w:eastAsia="en-GB"/>
              </w:rPr>
            </w:pPr>
            <w:r w:rsidRPr="00465630">
              <w:rPr>
                <w:rFonts w:ascii="Calibri" w:hAnsi="Calibri"/>
                <w:b/>
                <w:sz w:val="22"/>
                <w:szCs w:val="22"/>
              </w:rPr>
              <w:t>Gender Pay Gap (Mean)</w:t>
            </w:r>
          </w:p>
        </w:tc>
      </w:tr>
      <w:tr w:rsidR="00253D21" w:rsidRPr="00465630" w:rsidTr="00465630">
        <w:trPr>
          <w:trHeight w:val="529"/>
        </w:trPr>
        <w:tc>
          <w:tcPr>
            <w:tcW w:w="2890" w:type="dxa"/>
            <w:vMerge/>
          </w:tcPr>
          <w:p w:rsidR="00253D21" w:rsidRPr="00465630" w:rsidRDefault="00253D21" w:rsidP="003247EA">
            <w:pPr>
              <w:rPr>
                <w:rFonts w:ascii="Calibri" w:hAnsi="Calibri"/>
                <w:sz w:val="22"/>
                <w:szCs w:val="22"/>
              </w:rPr>
            </w:pPr>
          </w:p>
        </w:tc>
        <w:tc>
          <w:tcPr>
            <w:tcW w:w="1805" w:type="dxa"/>
            <w:tcBorders>
              <w:bottom w:val="single" w:sz="4" w:space="0" w:color="auto"/>
            </w:tcBorders>
            <w:vAlign w:val="center"/>
          </w:tcPr>
          <w:p w:rsidR="00253D21" w:rsidRPr="00465630" w:rsidRDefault="00253D21" w:rsidP="003247EA">
            <w:pPr>
              <w:rPr>
                <w:rFonts w:ascii="Calibri" w:hAnsi="Calibri"/>
                <w:b/>
                <w:sz w:val="22"/>
                <w:szCs w:val="22"/>
              </w:rPr>
            </w:pPr>
            <w:r w:rsidRPr="00465630">
              <w:rPr>
                <w:rFonts w:ascii="Calibri" w:hAnsi="Calibri"/>
                <w:b/>
                <w:sz w:val="22"/>
                <w:szCs w:val="22"/>
              </w:rPr>
              <w:t>Lichfield</w:t>
            </w:r>
          </w:p>
        </w:tc>
        <w:tc>
          <w:tcPr>
            <w:tcW w:w="1016" w:type="dxa"/>
            <w:tcBorders>
              <w:bottom w:val="single" w:sz="4" w:space="0" w:color="auto"/>
            </w:tcBorders>
            <w:shd w:val="clear" w:color="auto" w:fill="F7CAAC"/>
            <w:vAlign w:val="center"/>
          </w:tcPr>
          <w:p w:rsidR="00253D21" w:rsidRPr="00465630" w:rsidRDefault="00E90EB3" w:rsidP="00E90EB3">
            <w:pPr>
              <w:jc w:val="right"/>
              <w:rPr>
                <w:rFonts w:ascii="Calibri" w:hAnsi="Calibri"/>
                <w:b/>
                <w:sz w:val="22"/>
                <w:szCs w:val="22"/>
              </w:rPr>
            </w:pPr>
            <w:r w:rsidRPr="00465630">
              <w:rPr>
                <w:rFonts w:ascii="Calibri" w:hAnsi="Calibri"/>
                <w:b/>
                <w:sz w:val="22"/>
                <w:szCs w:val="22"/>
              </w:rPr>
              <w:t>5</w:t>
            </w:r>
            <w:r w:rsidR="00253D21" w:rsidRPr="00465630">
              <w:rPr>
                <w:rFonts w:ascii="Calibri" w:hAnsi="Calibri"/>
                <w:b/>
                <w:sz w:val="22"/>
                <w:szCs w:val="22"/>
              </w:rPr>
              <w:t>.</w:t>
            </w:r>
            <w:r w:rsidRPr="00465630">
              <w:rPr>
                <w:rFonts w:ascii="Calibri" w:hAnsi="Calibri"/>
                <w:b/>
                <w:sz w:val="22"/>
                <w:szCs w:val="22"/>
              </w:rPr>
              <w:t>62</w:t>
            </w:r>
            <w:r w:rsidR="00253D21" w:rsidRPr="00465630">
              <w:rPr>
                <w:rFonts w:ascii="Calibri" w:hAnsi="Calibri"/>
                <w:b/>
                <w:sz w:val="22"/>
                <w:szCs w:val="22"/>
              </w:rPr>
              <w:t>%</w:t>
            </w:r>
          </w:p>
        </w:tc>
        <w:tc>
          <w:tcPr>
            <w:tcW w:w="1091" w:type="dxa"/>
            <w:tcBorders>
              <w:bottom w:val="single" w:sz="4" w:space="0" w:color="auto"/>
            </w:tcBorders>
            <w:shd w:val="clear" w:color="auto" w:fill="C5E0B3"/>
            <w:vAlign w:val="center"/>
          </w:tcPr>
          <w:p w:rsidR="00253D21" w:rsidRPr="00465630" w:rsidRDefault="0099083E" w:rsidP="00DC6BD4">
            <w:pPr>
              <w:jc w:val="right"/>
              <w:rPr>
                <w:rFonts w:ascii="Calibri" w:hAnsi="Calibri"/>
                <w:b/>
                <w:sz w:val="22"/>
                <w:szCs w:val="22"/>
              </w:rPr>
            </w:pPr>
            <w:r w:rsidRPr="00465630">
              <w:rPr>
                <w:rFonts w:ascii="Calibri" w:hAnsi="Calibri"/>
                <w:b/>
                <w:sz w:val="22"/>
                <w:szCs w:val="22"/>
              </w:rPr>
              <w:t>2.15%</w:t>
            </w:r>
          </w:p>
        </w:tc>
        <w:tc>
          <w:tcPr>
            <w:tcW w:w="877" w:type="dxa"/>
            <w:tcBorders>
              <w:bottom w:val="single" w:sz="4" w:space="0" w:color="auto"/>
            </w:tcBorders>
          </w:tcPr>
          <w:p w:rsidR="00253D21" w:rsidRPr="00465630" w:rsidRDefault="00253D21" w:rsidP="003247EA">
            <w:pPr>
              <w:jc w:val="center"/>
              <w:rPr>
                <w:rFonts w:ascii="Calibri" w:hAnsi="Calibri"/>
                <w:b/>
                <w:sz w:val="22"/>
                <w:szCs w:val="22"/>
              </w:rPr>
            </w:pPr>
            <w:r w:rsidRPr="00465630">
              <w:rPr>
                <w:rFonts w:cs="Arial"/>
                <w:noProof/>
                <w:color w:val="FFFFFF"/>
                <w:sz w:val="20"/>
                <w:szCs w:val="20"/>
                <w:lang w:eastAsia="en-GB"/>
              </w:rPr>
              <w:drawing>
                <wp:inline distT="0" distB="0" distL="0" distR="0" wp14:anchorId="09B60773" wp14:editId="27487084">
                  <wp:extent cx="409575" cy="371475"/>
                  <wp:effectExtent l="0" t="0" r="9525" b="9525"/>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09575" cy="371475"/>
                          </a:xfrm>
                          <a:prstGeom prst="rect">
                            <a:avLst/>
                          </a:prstGeom>
                          <a:noFill/>
                          <a:ln>
                            <a:noFill/>
                          </a:ln>
                        </pic:spPr>
                      </pic:pic>
                    </a:graphicData>
                  </a:graphic>
                </wp:inline>
              </w:drawing>
            </w:r>
          </w:p>
        </w:tc>
      </w:tr>
      <w:tr w:rsidR="00253D21" w:rsidRPr="00465630" w:rsidTr="00465630">
        <w:trPr>
          <w:trHeight w:val="637"/>
        </w:trPr>
        <w:tc>
          <w:tcPr>
            <w:tcW w:w="2890" w:type="dxa"/>
            <w:vMerge/>
            <w:tcBorders>
              <w:right w:val="single" w:sz="4" w:space="0" w:color="auto"/>
            </w:tcBorders>
          </w:tcPr>
          <w:p w:rsidR="00253D21" w:rsidRPr="00465630" w:rsidRDefault="00253D21" w:rsidP="003247EA">
            <w:pPr>
              <w:rPr>
                <w:rFonts w:ascii="Calibri" w:hAnsi="Calibri"/>
                <w:sz w:val="22"/>
                <w:szCs w:val="22"/>
              </w:rPr>
            </w:pPr>
          </w:p>
        </w:tc>
        <w:tc>
          <w:tcPr>
            <w:tcW w:w="1805" w:type="dxa"/>
            <w:tcBorders>
              <w:top w:val="single" w:sz="4" w:space="0" w:color="auto"/>
              <w:left w:val="single" w:sz="4" w:space="0" w:color="auto"/>
              <w:bottom w:val="single" w:sz="4" w:space="0" w:color="auto"/>
              <w:right w:val="single" w:sz="4" w:space="0" w:color="auto"/>
            </w:tcBorders>
            <w:vAlign w:val="center"/>
          </w:tcPr>
          <w:p w:rsidR="00253D21" w:rsidRPr="00465630" w:rsidRDefault="00253D21" w:rsidP="003247EA">
            <w:pPr>
              <w:rPr>
                <w:rFonts w:ascii="Calibri" w:hAnsi="Calibri"/>
                <w:b/>
                <w:sz w:val="22"/>
                <w:szCs w:val="22"/>
              </w:rPr>
            </w:pPr>
            <w:r w:rsidRPr="00465630">
              <w:rPr>
                <w:rFonts w:ascii="Calibri" w:hAnsi="Calibri"/>
                <w:b/>
                <w:sz w:val="22"/>
                <w:szCs w:val="22"/>
              </w:rPr>
              <w:t>National</w:t>
            </w:r>
          </w:p>
        </w:tc>
        <w:tc>
          <w:tcPr>
            <w:tcW w:w="1016" w:type="dxa"/>
            <w:tcBorders>
              <w:top w:val="single" w:sz="4" w:space="0" w:color="auto"/>
              <w:left w:val="single" w:sz="4" w:space="0" w:color="auto"/>
              <w:bottom w:val="single" w:sz="4" w:space="0" w:color="auto"/>
              <w:right w:val="single" w:sz="4" w:space="0" w:color="auto"/>
            </w:tcBorders>
            <w:shd w:val="clear" w:color="auto" w:fill="F7CAAC"/>
            <w:vAlign w:val="center"/>
          </w:tcPr>
          <w:p w:rsidR="00253D21" w:rsidRPr="00465630" w:rsidRDefault="00253D21" w:rsidP="00E90EB3">
            <w:pPr>
              <w:jc w:val="right"/>
              <w:rPr>
                <w:rFonts w:ascii="Calibri" w:hAnsi="Calibri"/>
                <w:b/>
                <w:sz w:val="22"/>
                <w:szCs w:val="22"/>
              </w:rPr>
            </w:pPr>
            <w:r w:rsidRPr="00465630">
              <w:rPr>
                <w:rFonts w:ascii="Calibri" w:hAnsi="Calibri"/>
                <w:b/>
                <w:sz w:val="22"/>
                <w:szCs w:val="22"/>
              </w:rPr>
              <w:t>1</w:t>
            </w:r>
            <w:r w:rsidR="00E90EB3" w:rsidRPr="00465630">
              <w:rPr>
                <w:rFonts w:ascii="Calibri" w:hAnsi="Calibri"/>
                <w:b/>
                <w:sz w:val="22"/>
                <w:szCs w:val="22"/>
              </w:rPr>
              <w:t>2</w:t>
            </w:r>
            <w:r w:rsidRPr="00465630">
              <w:rPr>
                <w:rFonts w:ascii="Calibri" w:hAnsi="Calibri"/>
                <w:b/>
                <w:sz w:val="22"/>
                <w:szCs w:val="22"/>
              </w:rPr>
              <w:t>.0</w:t>
            </w:r>
            <w:r w:rsidR="00E90EB3" w:rsidRPr="00465630">
              <w:rPr>
                <w:rFonts w:ascii="Calibri" w:hAnsi="Calibri"/>
                <w:b/>
                <w:sz w:val="22"/>
                <w:szCs w:val="22"/>
              </w:rPr>
              <w:t>0</w:t>
            </w:r>
            <w:r w:rsidRPr="00465630">
              <w:rPr>
                <w:rFonts w:ascii="Calibri" w:hAnsi="Calibri"/>
                <w:b/>
                <w:sz w:val="22"/>
                <w:szCs w:val="22"/>
              </w:rPr>
              <w:t>%</w:t>
            </w:r>
          </w:p>
        </w:tc>
        <w:tc>
          <w:tcPr>
            <w:tcW w:w="1091" w:type="dxa"/>
            <w:tcBorders>
              <w:top w:val="single" w:sz="4" w:space="0" w:color="auto"/>
              <w:left w:val="single" w:sz="4" w:space="0" w:color="auto"/>
              <w:bottom w:val="single" w:sz="4" w:space="0" w:color="auto"/>
              <w:right w:val="single" w:sz="4" w:space="0" w:color="auto"/>
            </w:tcBorders>
            <w:shd w:val="clear" w:color="auto" w:fill="C5E0B3"/>
            <w:vAlign w:val="center"/>
          </w:tcPr>
          <w:p w:rsidR="00253D21" w:rsidRPr="00465630" w:rsidRDefault="00DC6BD4" w:rsidP="003247EA">
            <w:pPr>
              <w:jc w:val="right"/>
              <w:rPr>
                <w:rFonts w:ascii="Calibri" w:hAnsi="Calibri"/>
                <w:b/>
                <w:sz w:val="22"/>
                <w:szCs w:val="22"/>
              </w:rPr>
            </w:pPr>
            <w:r w:rsidRPr="00465630">
              <w:rPr>
                <w:rFonts w:ascii="Calibri" w:hAnsi="Calibri"/>
                <w:b/>
                <w:sz w:val="22"/>
                <w:szCs w:val="22"/>
              </w:rPr>
              <w:t>X</w:t>
            </w:r>
            <w:r w:rsidR="00253D21" w:rsidRPr="00465630">
              <w:rPr>
                <w:rFonts w:ascii="Calibri" w:hAnsi="Calibri"/>
                <w:b/>
                <w:sz w:val="22"/>
                <w:szCs w:val="22"/>
              </w:rPr>
              <w:t>%</w:t>
            </w:r>
          </w:p>
        </w:tc>
        <w:tc>
          <w:tcPr>
            <w:tcW w:w="877" w:type="dxa"/>
            <w:tcBorders>
              <w:top w:val="single" w:sz="4" w:space="0" w:color="auto"/>
              <w:left w:val="single" w:sz="4" w:space="0" w:color="auto"/>
              <w:bottom w:val="single" w:sz="4" w:space="0" w:color="auto"/>
              <w:right w:val="single" w:sz="4" w:space="0" w:color="auto"/>
            </w:tcBorders>
            <w:shd w:val="clear" w:color="auto" w:fill="FFFFFF"/>
          </w:tcPr>
          <w:p w:rsidR="00253D21" w:rsidRPr="00465630" w:rsidRDefault="00253D21" w:rsidP="003247EA">
            <w:pPr>
              <w:jc w:val="center"/>
              <w:rPr>
                <w:rFonts w:ascii="Calibri" w:hAnsi="Calibri"/>
                <w:b/>
                <w:sz w:val="22"/>
                <w:szCs w:val="22"/>
              </w:rPr>
            </w:pPr>
          </w:p>
        </w:tc>
      </w:tr>
      <w:tr w:rsidR="00253D21" w:rsidRPr="00465630" w:rsidTr="00465630">
        <w:trPr>
          <w:trHeight w:val="247"/>
        </w:trPr>
        <w:tc>
          <w:tcPr>
            <w:tcW w:w="2890" w:type="dxa"/>
            <w:vMerge/>
          </w:tcPr>
          <w:p w:rsidR="00253D21" w:rsidRPr="00465630" w:rsidRDefault="00253D21" w:rsidP="003247EA">
            <w:pPr>
              <w:rPr>
                <w:rFonts w:ascii="Calibri" w:hAnsi="Calibri"/>
                <w:sz w:val="22"/>
                <w:szCs w:val="22"/>
              </w:rPr>
            </w:pPr>
          </w:p>
        </w:tc>
        <w:tc>
          <w:tcPr>
            <w:tcW w:w="4791" w:type="dxa"/>
            <w:gridSpan w:val="4"/>
            <w:tcBorders>
              <w:top w:val="single" w:sz="4" w:space="0" w:color="auto"/>
              <w:bottom w:val="single" w:sz="4" w:space="0" w:color="auto"/>
            </w:tcBorders>
            <w:shd w:val="clear" w:color="auto" w:fill="00B0F0"/>
            <w:vAlign w:val="center"/>
          </w:tcPr>
          <w:p w:rsidR="00253D21" w:rsidRPr="00465630" w:rsidRDefault="00253D21" w:rsidP="003247EA">
            <w:pPr>
              <w:jc w:val="center"/>
              <w:rPr>
                <w:rFonts w:cs="Arial"/>
                <w:noProof/>
                <w:color w:val="FFFFFF"/>
                <w:sz w:val="20"/>
                <w:szCs w:val="20"/>
                <w:lang w:eastAsia="en-GB"/>
              </w:rPr>
            </w:pPr>
            <w:r w:rsidRPr="00465630">
              <w:rPr>
                <w:rFonts w:ascii="Calibri" w:hAnsi="Calibri"/>
                <w:b/>
                <w:sz w:val="22"/>
                <w:szCs w:val="22"/>
              </w:rPr>
              <w:t>Gender Pay Gap (Median)</w:t>
            </w:r>
          </w:p>
        </w:tc>
      </w:tr>
      <w:tr w:rsidR="00253D21" w:rsidRPr="00465630" w:rsidTr="00465630">
        <w:trPr>
          <w:trHeight w:val="529"/>
        </w:trPr>
        <w:tc>
          <w:tcPr>
            <w:tcW w:w="2890" w:type="dxa"/>
            <w:vMerge/>
          </w:tcPr>
          <w:p w:rsidR="00253D21" w:rsidRPr="00465630" w:rsidRDefault="00253D21" w:rsidP="003247EA">
            <w:pPr>
              <w:rPr>
                <w:rFonts w:ascii="Calibri" w:hAnsi="Calibri"/>
                <w:sz w:val="22"/>
                <w:szCs w:val="22"/>
              </w:rPr>
            </w:pPr>
          </w:p>
        </w:tc>
        <w:tc>
          <w:tcPr>
            <w:tcW w:w="1805" w:type="dxa"/>
            <w:tcBorders>
              <w:top w:val="single" w:sz="4" w:space="0" w:color="auto"/>
              <w:bottom w:val="single" w:sz="4" w:space="0" w:color="auto"/>
            </w:tcBorders>
            <w:vAlign w:val="center"/>
          </w:tcPr>
          <w:p w:rsidR="00253D21" w:rsidRPr="00465630" w:rsidRDefault="00253D21" w:rsidP="003247EA">
            <w:pPr>
              <w:rPr>
                <w:rFonts w:ascii="Calibri" w:hAnsi="Calibri"/>
                <w:b/>
                <w:sz w:val="22"/>
                <w:szCs w:val="22"/>
              </w:rPr>
            </w:pPr>
            <w:r w:rsidRPr="00465630">
              <w:rPr>
                <w:rFonts w:ascii="Calibri" w:hAnsi="Calibri"/>
                <w:b/>
                <w:sz w:val="22"/>
                <w:szCs w:val="22"/>
              </w:rPr>
              <w:t>Lichfield</w:t>
            </w:r>
          </w:p>
        </w:tc>
        <w:tc>
          <w:tcPr>
            <w:tcW w:w="1016" w:type="dxa"/>
            <w:tcBorders>
              <w:top w:val="single" w:sz="4" w:space="0" w:color="auto"/>
              <w:bottom w:val="single" w:sz="4" w:space="0" w:color="auto"/>
            </w:tcBorders>
            <w:shd w:val="clear" w:color="auto" w:fill="F7CAAC"/>
            <w:vAlign w:val="center"/>
          </w:tcPr>
          <w:p w:rsidR="00253D21" w:rsidRPr="00465630" w:rsidRDefault="00253D21" w:rsidP="003247EA">
            <w:pPr>
              <w:jc w:val="right"/>
              <w:rPr>
                <w:rFonts w:ascii="Calibri" w:hAnsi="Calibri"/>
                <w:b/>
                <w:sz w:val="22"/>
                <w:szCs w:val="22"/>
              </w:rPr>
            </w:pPr>
            <w:r w:rsidRPr="00465630">
              <w:rPr>
                <w:rFonts w:ascii="Calibri" w:hAnsi="Calibri"/>
                <w:b/>
                <w:sz w:val="22"/>
                <w:szCs w:val="22"/>
              </w:rPr>
              <w:t>0%</w:t>
            </w:r>
          </w:p>
        </w:tc>
        <w:tc>
          <w:tcPr>
            <w:tcW w:w="1091" w:type="dxa"/>
            <w:tcBorders>
              <w:top w:val="single" w:sz="4" w:space="0" w:color="auto"/>
              <w:bottom w:val="single" w:sz="4" w:space="0" w:color="auto"/>
            </w:tcBorders>
            <w:shd w:val="clear" w:color="auto" w:fill="C5E0B3"/>
            <w:vAlign w:val="center"/>
          </w:tcPr>
          <w:p w:rsidR="00253D21" w:rsidRPr="00465630" w:rsidRDefault="0099083E" w:rsidP="0099083E">
            <w:pPr>
              <w:jc w:val="right"/>
              <w:rPr>
                <w:rFonts w:ascii="Calibri" w:hAnsi="Calibri"/>
                <w:b/>
                <w:sz w:val="22"/>
                <w:szCs w:val="22"/>
              </w:rPr>
            </w:pPr>
            <w:r w:rsidRPr="00465630">
              <w:rPr>
                <w:rFonts w:ascii="Calibri" w:hAnsi="Calibri"/>
                <w:b/>
                <w:sz w:val="22"/>
                <w:szCs w:val="22"/>
              </w:rPr>
              <w:t>-3.94</w:t>
            </w:r>
            <w:r w:rsidR="00253D21" w:rsidRPr="00465630">
              <w:rPr>
                <w:rFonts w:ascii="Calibri" w:hAnsi="Calibri"/>
                <w:b/>
                <w:sz w:val="22"/>
                <w:szCs w:val="22"/>
              </w:rPr>
              <w:t>%</w:t>
            </w:r>
          </w:p>
        </w:tc>
        <w:tc>
          <w:tcPr>
            <w:tcW w:w="877" w:type="dxa"/>
            <w:tcBorders>
              <w:top w:val="single" w:sz="4" w:space="0" w:color="auto"/>
              <w:bottom w:val="single" w:sz="4" w:space="0" w:color="auto"/>
            </w:tcBorders>
          </w:tcPr>
          <w:p w:rsidR="00253D21" w:rsidRPr="00465630" w:rsidRDefault="0099083E" w:rsidP="003247EA">
            <w:pPr>
              <w:jc w:val="center"/>
              <w:rPr>
                <w:rFonts w:ascii="Calibri" w:hAnsi="Calibri"/>
                <w:b/>
                <w:sz w:val="22"/>
                <w:szCs w:val="22"/>
              </w:rPr>
            </w:pPr>
            <w:r w:rsidRPr="00465630">
              <w:rPr>
                <w:rFonts w:cs="Arial"/>
                <w:noProof/>
                <w:color w:val="FFFFFF"/>
                <w:sz w:val="20"/>
                <w:szCs w:val="20"/>
                <w:lang w:eastAsia="en-GB"/>
              </w:rPr>
              <w:drawing>
                <wp:inline distT="0" distB="0" distL="0" distR="0" wp14:anchorId="0C3C2D21" wp14:editId="7B9C08A7">
                  <wp:extent cx="409575" cy="371475"/>
                  <wp:effectExtent l="0" t="0" r="9525" b="9525"/>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09575" cy="371475"/>
                          </a:xfrm>
                          <a:prstGeom prst="rect">
                            <a:avLst/>
                          </a:prstGeom>
                          <a:noFill/>
                          <a:ln>
                            <a:noFill/>
                          </a:ln>
                        </pic:spPr>
                      </pic:pic>
                    </a:graphicData>
                  </a:graphic>
                </wp:inline>
              </w:drawing>
            </w:r>
          </w:p>
        </w:tc>
      </w:tr>
      <w:tr w:rsidR="00253D21" w:rsidRPr="007F5415" w:rsidTr="00823CC4">
        <w:trPr>
          <w:trHeight w:val="672"/>
        </w:trPr>
        <w:tc>
          <w:tcPr>
            <w:tcW w:w="2890" w:type="dxa"/>
            <w:vMerge/>
          </w:tcPr>
          <w:p w:rsidR="00253D21" w:rsidRPr="00465630" w:rsidRDefault="00253D21" w:rsidP="003247EA">
            <w:pPr>
              <w:rPr>
                <w:rFonts w:ascii="Calibri" w:hAnsi="Calibri"/>
                <w:sz w:val="22"/>
                <w:szCs w:val="22"/>
              </w:rPr>
            </w:pPr>
          </w:p>
        </w:tc>
        <w:tc>
          <w:tcPr>
            <w:tcW w:w="1805" w:type="dxa"/>
            <w:tcBorders>
              <w:bottom w:val="single" w:sz="4" w:space="0" w:color="auto"/>
            </w:tcBorders>
            <w:vAlign w:val="center"/>
          </w:tcPr>
          <w:p w:rsidR="00253D21" w:rsidRPr="00465630" w:rsidRDefault="00253D21" w:rsidP="003247EA">
            <w:pPr>
              <w:rPr>
                <w:rFonts w:ascii="Calibri" w:hAnsi="Calibri"/>
                <w:b/>
                <w:sz w:val="22"/>
                <w:szCs w:val="22"/>
              </w:rPr>
            </w:pPr>
            <w:r w:rsidRPr="00465630">
              <w:rPr>
                <w:rFonts w:ascii="Calibri" w:hAnsi="Calibri"/>
                <w:b/>
                <w:sz w:val="22"/>
                <w:szCs w:val="22"/>
              </w:rPr>
              <w:t>National</w:t>
            </w:r>
          </w:p>
        </w:tc>
        <w:tc>
          <w:tcPr>
            <w:tcW w:w="1016" w:type="dxa"/>
            <w:tcBorders>
              <w:bottom w:val="single" w:sz="4" w:space="0" w:color="auto"/>
            </w:tcBorders>
            <w:shd w:val="clear" w:color="auto" w:fill="F7CAAC"/>
            <w:vAlign w:val="center"/>
          </w:tcPr>
          <w:p w:rsidR="00253D21" w:rsidRPr="00465630" w:rsidRDefault="00E90EB3" w:rsidP="00E90EB3">
            <w:pPr>
              <w:jc w:val="right"/>
              <w:rPr>
                <w:rFonts w:ascii="Calibri" w:hAnsi="Calibri"/>
                <w:b/>
                <w:sz w:val="22"/>
                <w:szCs w:val="22"/>
              </w:rPr>
            </w:pPr>
            <w:r w:rsidRPr="00465630">
              <w:rPr>
                <w:rFonts w:ascii="Calibri" w:hAnsi="Calibri"/>
                <w:b/>
                <w:sz w:val="22"/>
                <w:szCs w:val="22"/>
              </w:rPr>
              <w:t>9.70</w:t>
            </w:r>
            <w:r w:rsidR="00253D21" w:rsidRPr="00465630">
              <w:rPr>
                <w:rFonts w:ascii="Calibri" w:hAnsi="Calibri"/>
                <w:b/>
                <w:sz w:val="22"/>
                <w:szCs w:val="22"/>
              </w:rPr>
              <w:t>%</w:t>
            </w:r>
          </w:p>
        </w:tc>
        <w:tc>
          <w:tcPr>
            <w:tcW w:w="1091" w:type="dxa"/>
            <w:tcBorders>
              <w:bottom w:val="single" w:sz="4" w:space="0" w:color="auto"/>
            </w:tcBorders>
            <w:shd w:val="clear" w:color="auto" w:fill="C5E0B3"/>
            <w:vAlign w:val="center"/>
          </w:tcPr>
          <w:p w:rsidR="00253D21" w:rsidRPr="00465630" w:rsidRDefault="00DC6BD4" w:rsidP="003247EA">
            <w:pPr>
              <w:jc w:val="right"/>
              <w:rPr>
                <w:rFonts w:ascii="Calibri" w:hAnsi="Calibri"/>
                <w:b/>
                <w:sz w:val="22"/>
                <w:szCs w:val="22"/>
              </w:rPr>
            </w:pPr>
            <w:r w:rsidRPr="00465630">
              <w:rPr>
                <w:rFonts w:ascii="Calibri" w:hAnsi="Calibri"/>
                <w:b/>
                <w:sz w:val="22"/>
                <w:szCs w:val="22"/>
              </w:rPr>
              <w:t>X</w:t>
            </w:r>
            <w:r w:rsidR="00253D21" w:rsidRPr="00465630">
              <w:rPr>
                <w:rFonts w:ascii="Calibri" w:hAnsi="Calibri"/>
                <w:b/>
                <w:sz w:val="22"/>
                <w:szCs w:val="22"/>
              </w:rPr>
              <w:t>%</w:t>
            </w:r>
          </w:p>
        </w:tc>
        <w:tc>
          <w:tcPr>
            <w:tcW w:w="877" w:type="dxa"/>
            <w:tcBorders>
              <w:bottom w:val="single" w:sz="4" w:space="0" w:color="auto"/>
            </w:tcBorders>
          </w:tcPr>
          <w:p w:rsidR="00253D21" w:rsidRPr="00465630" w:rsidRDefault="00253D21" w:rsidP="003247EA">
            <w:pPr>
              <w:jc w:val="center"/>
              <w:rPr>
                <w:rFonts w:ascii="Calibri" w:hAnsi="Calibri"/>
                <w:b/>
                <w:sz w:val="22"/>
                <w:szCs w:val="22"/>
              </w:rPr>
            </w:pPr>
          </w:p>
        </w:tc>
      </w:tr>
    </w:tbl>
    <w:p w:rsidR="00253D21" w:rsidRPr="00194CE0" w:rsidRDefault="00253D21" w:rsidP="00253D21">
      <w:pPr>
        <w:spacing w:after="120"/>
        <w:jc w:val="both"/>
        <w:rPr>
          <w:rFonts w:ascii="Calibri" w:hAnsi="Calibri" w:cs="Calibri"/>
          <w:sz w:val="16"/>
          <w:szCs w:val="16"/>
        </w:rPr>
      </w:pPr>
      <w:r w:rsidRPr="00194CE0">
        <w:rPr>
          <w:rFonts w:ascii="Calibri" w:hAnsi="Calibri" w:cs="Calibri"/>
          <w:sz w:val="16"/>
          <w:szCs w:val="16"/>
        </w:rPr>
        <w:t xml:space="preserve"> The National figures are taken from the base data on the ‘.gov.uk’ website</w:t>
      </w:r>
      <w:r w:rsidR="00465630">
        <w:rPr>
          <w:rFonts w:ascii="Calibri" w:hAnsi="Calibri" w:cs="Calibri"/>
          <w:sz w:val="16"/>
          <w:szCs w:val="16"/>
        </w:rPr>
        <w:t>. For 2020/21, as a result of Covid-19, these will not be available until October 2021</w:t>
      </w:r>
    </w:p>
    <w:p w:rsidR="0099083E" w:rsidRPr="0099083E" w:rsidRDefault="0099083E" w:rsidP="0099083E">
      <w:pPr>
        <w:rPr>
          <w:rFonts w:ascii="Calibri" w:hAnsi="Calibri" w:cs="Calibri"/>
          <w:sz w:val="22"/>
          <w:szCs w:val="22"/>
        </w:rPr>
      </w:pPr>
      <w:r>
        <w:rPr>
          <w:rFonts w:ascii="Calibri" w:hAnsi="Calibri" w:cs="Calibri"/>
          <w:sz w:val="22"/>
          <w:szCs w:val="22"/>
        </w:rPr>
        <w:lastRenderedPageBreak/>
        <w:t>The reduction shows at the Council of</w:t>
      </w:r>
      <w:r w:rsidRPr="0099083E">
        <w:rPr>
          <w:rFonts w:ascii="Calibri" w:hAnsi="Calibri" w:cs="Calibri"/>
          <w:sz w:val="22"/>
          <w:szCs w:val="22"/>
        </w:rPr>
        <w:t xml:space="preserve"> women are paid more than men. Some of this is due to </w:t>
      </w:r>
      <w:r>
        <w:rPr>
          <w:rFonts w:ascii="Calibri" w:hAnsi="Calibri" w:cs="Calibri"/>
          <w:sz w:val="22"/>
          <w:szCs w:val="22"/>
        </w:rPr>
        <w:t xml:space="preserve">the </w:t>
      </w:r>
      <w:r w:rsidRPr="0099083E">
        <w:rPr>
          <w:rFonts w:ascii="Calibri" w:hAnsi="Calibri" w:cs="Calibri"/>
          <w:sz w:val="22"/>
          <w:szCs w:val="22"/>
        </w:rPr>
        <w:t xml:space="preserve">reduced number of casuals we have used </w:t>
      </w:r>
      <w:r>
        <w:rPr>
          <w:rFonts w:ascii="Calibri" w:hAnsi="Calibri" w:cs="Calibri"/>
          <w:sz w:val="22"/>
          <w:szCs w:val="22"/>
        </w:rPr>
        <w:t>as a result of</w:t>
      </w:r>
      <w:r w:rsidRPr="0099083E">
        <w:rPr>
          <w:rFonts w:ascii="Calibri" w:hAnsi="Calibri" w:cs="Calibri"/>
          <w:sz w:val="22"/>
          <w:szCs w:val="22"/>
        </w:rPr>
        <w:t xml:space="preserve"> the Coronavirus </w:t>
      </w:r>
      <w:r>
        <w:rPr>
          <w:rFonts w:ascii="Calibri" w:hAnsi="Calibri" w:cs="Calibri"/>
          <w:sz w:val="22"/>
          <w:szCs w:val="22"/>
        </w:rPr>
        <w:t xml:space="preserve">pandemic. These </w:t>
      </w:r>
      <w:r w:rsidRPr="0099083E">
        <w:rPr>
          <w:rFonts w:ascii="Calibri" w:hAnsi="Calibri" w:cs="Calibri"/>
          <w:sz w:val="22"/>
          <w:szCs w:val="22"/>
        </w:rPr>
        <w:t>have previously skewed the figures compared to the salaried staff.</w:t>
      </w:r>
    </w:p>
    <w:p w:rsidR="00253D21" w:rsidRPr="00194CE0" w:rsidRDefault="0099083E" w:rsidP="00253D21">
      <w:pPr>
        <w:spacing w:before="120" w:after="120"/>
        <w:jc w:val="both"/>
        <w:rPr>
          <w:rFonts w:ascii="Calibri" w:hAnsi="Calibri" w:cs="Calibri"/>
          <w:sz w:val="22"/>
          <w:szCs w:val="22"/>
        </w:rPr>
      </w:pPr>
      <w:r>
        <w:rPr>
          <w:rFonts w:ascii="Calibri" w:hAnsi="Calibri" w:cs="Calibri"/>
          <w:sz w:val="22"/>
          <w:szCs w:val="22"/>
        </w:rPr>
        <w:t xml:space="preserve">The level of the gap in previous years is because </w:t>
      </w:r>
      <w:r w:rsidR="00253D21" w:rsidRPr="00194CE0">
        <w:rPr>
          <w:rFonts w:ascii="Calibri" w:hAnsi="Calibri" w:cs="Calibri"/>
          <w:sz w:val="22"/>
          <w:szCs w:val="22"/>
        </w:rPr>
        <w:t xml:space="preserve">a significant number of our female staff are working part time, resulting in lower pay overall. </w:t>
      </w:r>
      <w:r w:rsidR="005D4150" w:rsidRPr="00194CE0">
        <w:rPr>
          <w:rFonts w:ascii="Calibri" w:hAnsi="Calibri" w:cs="Calibri"/>
          <w:sz w:val="22"/>
          <w:szCs w:val="22"/>
        </w:rPr>
        <w:t xml:space="preserve">However full time female staff are paid on average more per hour than their male full time counterparts. </w:t>
      </w:r>
      <w:r w:rsidR="00253D21" w:rsidRPr="00194CE0">
        <w:rPr>
          <w:rFonts w:ascii="Calibri" w:hAnsi="Calibri" w:cs="Calibri"/>
          <w:sz w:val="22"/>
          <w:szCs w:val="22"/>
        </w:rPr>
        <w:t>In addition, the waste service traditionally attracts a larger percentage of male employees, hence we employ a higher number of men in the middle quartile displacing more women in the lower and lower middle quartiles which otherwise would have been balanced.</w:t>
      </w:r>
      <w:r w:rsidR="005D4150" w:rsidRPr="00194CE0">
        <w:rPr>
          <w:rFonts w:ascii="Calibri" w:hAnsi="Calibri" w:cs="Calibri"/>
          <w:sz w:val="22"/>
          <w:szCs w:val="22"/>
        </w:rPr>
        <w:t xml:space="preserve"> Possible routes to encourage more recruitment to employ more female staff in this service have been considered to even out </w:t>
      </w:r>
      <w:r w:rsidR="00194CE0">
        <w:rPr>
          <w:rFonts w:ascii="Calibri" w:hAnsi="Calibri" w:cs="Calibri"/>
          <w:sz w:val="22"/>
          <w:szCs w:val="22"/>
        </w:rPr>
        <w:t>t</w:t>
      </w:r>
      <w:r w:rsidR="005D4150" w:rsidRPr="00194CE0">
        <w:rPr>
          <w:rFonts w:ascii="Calibri" w:hAnsi="Calibri" w:cs="Calibri"/>
          <w:sz w:val="22"/>
          <w:szCs w:val="22"/>
        </w:rPr>
        <w:t>he gender mix in our workforce</w:t>
      </w:r>
      <w:r w:rsidR="00194CE0">
        <w:rPr>
          <w:rFonts w:ascii="Calibri" w:hAnsi="Calibri" w:cs="Calibri"/>
          <w:sz w:val="22"/>
          <w:szCs w:val="22"/>
        </w:rPr>
        <w:t>.</w:t>
      </w:r>
      <w:r w:rsidR="005D4150" w:rsidRPr="00194CE0">
        <w:rPr>
          <w:rFonts w:ascii="Calibri" w:hAnsi="Calibri" w:cs="Calibri"/>
          <w:sz w:val="22"/>
          <w:szCs w:val="22"/>
        </w:rPr>
        <w:t xml:space="preserve"> </w:t>
      </w:r>
      <w:r w:rsidR="00194CE0">
        <w:rPr>
          <w:rFonts w:ascii="Calibri" w:hAnsi="Calibri" w:cs="Calibri"/>
          <w:sz w:val="22"/>
          <w:szCs w:val="22"/>
        </w:rPr>
        <w:t>H</w:t>
      </w:r>
      <w:r w:rsidR="005D4150" w:rsidRPr="00194CE0">
        <w:rPr>
          <w:rFonts w:ascii="Calibri" w:hAnsi="Calibri" w:cs="Calibri"/>
          <w:sz w:val="22"/>
          <w:szCs w:val="22"/>
        </w:rPr>
        <w:t>owever</w:t>
      </w:r>
      <w:r w:rsidR="00194CE0">
        <w:rPr>
          <w:rFonts w:ascii="Calibri" w:hAnsi="Calibri" w:cs="Calibri"/>
          <w:sz w:val="22"/>
          <w:szCs w:val="22"/>
        </w:rPr>
        <w:t>,</w:t>
      </w:r>
      <w:r w:rsidR="005D4150" w:rsidRPr="00194CE0">
        <w:rPr>
          <w:rFonts w:ascii="Calibri" w:hAnsi="Calibri" w:cs="Calibri"/>
          <w:sz w:val="22"/>
          <w:szCs w:val="22"/>
        </w:rPr>
        <w:t xml:space="preserve"> this is a traditionally male dominated profession due to the hours and conditions of work. Gender Pay Gap reporting supports our equal pay framework and provides a litmus of areas that may need further investigation in our workforce.</w:t>
      </w:r>
    </w:p>
    <w:p w:rsidR="00C21497" w:rsidRPr="00EF3482" w:rsidRDefault="00C21497" w:rsidP="00C21497">
      <w:pPr>
        <w:spacing w:before="120" w:after="120"/>
        <w:jc w:val="both"/>
        <w:rPr>
          <w:rFonts w:ascii="Calibri" w:hAnsi="Calibri" w:cs="Calibri"/>
          <w:sz w:val="22"/>
          <w:szCs w:val="22"/>
        </w:rPr>
      </w:pPr>
      <w:r w:rsidRPr="00EF3482">
        <w:rPr>
          <w:rFonts w:ascii="Calibri" w:hAnsi="Calibri" w:cs="Calibri"/>
          <w:sz w:val="22"/>
          <w:szCs w:val="22"/>
        </w:rPr>
        <w:t>We have a legal duty as a first responder to participate and actively play a role in the response to and recovery from any emergency situation that impacts on the District and its community. This includes having in place a number of response and recovery plans, business continuity plans, and a requirement to participate in the collective activities that are sponsored on behalf of our Local resilience Forum, by the Civil Contingencies Unit (CCU), a body which is funded and owned by the members, such as</w:t>
      </w:r>
      <w:r w:rsidR="005A68C3">
        <w:rPr>
          <w:rFonts w:ascii="Calibri" w:hAnsi="Calibri" w:cs="Calibri"/>
          <w:sz w:val="22"/>
          <w:szCs w:val="22"/>
        </w:rPr>
        <w:t xml:space="preserve"> Lichfield District Council</w:t>
      </w:r>
      <w:r w:rsidRPr="00EF3482">
        <w:rPr>
          <w:rFonts w:ascii="Calibri" w:hAnsi="Calibri" w:cs="Calibri"/>
          <w:sz w:val="22"/>
          <w:szCs w:val="22"/>
        </w:rPr>
        <w:t>.  If there is an incident the local council concerned will work with the CCU to determine if partners need to be involved and whether an emergency should be declared and the requisite structures put in place.</w:t>
      </w:r>
    </w:p>
    <w:p w:rsidR="00963A30" w:rsidRPr="00EF3482" w:rsidRDefault="00C21497" w:rsidP="00C21497">
      <w:pPr>
        <w:spacing w:before="120" w:after="120"/>
        <w:jc w:val="both"/>
        <w:rPr>
          <w:rFonts w:ascii="Calibri" w:hAnsi="Calibri" w:cs="Calibri"/>
          <w:sz w:val="22"/>
          <w:szCs w:val="22"/>
        </w:rPr>
      </w:pPr>
      <w:r w:rsidRPr="00EF3482">
        <w:rPr>
          <w:rFonts w:ascii="Calibri" w:hAnsi="Calibri" w:cs="Calibri"/>
          <w:sz w:val="22"/>
          <w:szCs w:val="22"/>
        </w:rPr>
        <w:t>In March 2020</w:t>
      </w:r>
      <w:r w:rsidR="005A68C3">
        <w:rPr>
          <w:rFonts w:ascii="Calibri" w:hAnsi="Calibri" w:cs="Calibri"/>
          <w:sz w:val="22"/>
          <w:szCs w:val="22"/>
        </w:rPr>
        <w:t>,</w:t>
      </w:r>
      <w:r w:rsidRPr="00EF3482">
        <w:rPr>
          <w:rFonts w:ascii="Calibri" w:hAnsi="Calibri" w:cs="Calibri"/>
          <w:sz w:val="22"/>
          <w:szCs w:val="22"/>
        </w:rPr>
        <w:t xml:space="preserve"> these measures were put in place for the management of the C</w:t>
      </w:r>
      <w:r w:rsidR="005A68C3">
        <w:rPr>
          <w:rFonts w:ascii="Calibri" w:hAnsi="Calibri" w:cs="Calibri"/>
          <w:sz w:val="22"/>
          <w:szCs w:val="22"/>
        </w:rPr>
        <w:t>ovid</w:t>
      </w:r>
      <w:r w:rsidRPr="00EF3482">
        <w:rPr>
          <w:rFonts w:ascii="Calibri" w:hAnsi="Calibri" w:cs="Calibri"/>
          <w:sz w:val="22"/>
          <w:szCs w:val="22"/>
        </w:rPr>
        <w:t>-19 pandemic. The group, known as the Strategic Coordinating group (SCG), was established to implement an effective response to C</w:t>
      </w:r>
      <w:r w:rsidR="0020097A">
        <w:rPr>
          <w:rFonts w:ascii="Calibri" w:hAnsi="Calibri" w:cs="Calibri"/>
          <w:sz w:val="22"/>
          <w:szCs w:val="22"/>
        </w:rPr>
        <w:t>ovid</w:t>
      </w:r>
      <w:r w:rsidRPr="00EF3482">
        <w:rPr>
          <w:rFonts w:ascii="Calibri" w:hAnsi="Calibri" w:cs="Calibri"/>
          <w:sz w:val="22"/>
          <w:szCs w:val="22"/>
        </w:rPr>
        <w:t xml:space="preserve">-19 in Staffordshire. At the same time, a Tactical Coordinating Group (or local response and recovery group) was established within Lichfield District Council. The SCG together with its tactical support groups has worked and continues to work together to prioritise the continued delivery of essential services in order to support our communities, businesses, staff, elected members and other key stakeholders. It will also manage the ongoing response to preserve life, minimise disruption to communities, businesses and services and inspire trust and confidence of all. </w:t>
      </w:r>
    </w:p>
    <w:p w:rsidR="00EF3482" w:rsidRPr="00EF3482" w:rsidRDefault="00C21497" w:rsidP="00C21497">
      <w:pPr>
        <w:spacing w:before="120" w:after="120"/>
        <w:jc w:val="both"/>
        <w:rPr>
          <w:rFonts w:ascii="Calibri" w:hAnsi="Calibri" w:cs="Calibri"/>
          <w:sz w:val="22"/>
          <w:szCs w:val="22"/>
        </w:rPr>
      </w:pPr>
      <w:r w:rsidRPr="00EF3482">
        <w:rPr>
          <w:rFonts w:ascii="Calibri" w:hAnsi="Calibri" w:cs="Calibri"/>
          <w:sz w:val="22"/>
          <w:szCs w:val="22"/>
        </w:rPr>
        <w:t>Locally</w:t>
      </w:r>
      <w:r w:rsidR="005A68C3">
        <w:rPr>
          <w:rFonts w:ascii="Calibri" w:hAnsi="Calibri" w:cs="Calibri"/>
          <w:sz w:val="22"/>
          <w:szCs w:val="22"/>
        </w:rPr>
        <w:t>,</w:t>
      </w:r>
      <w:r w:rsidRPr="00EF3482">
        <w:rPr>
          <w:rFonts w:ascii="Calibri" w:hAnsi="Calibri" w:cs="Calibri"/>
          <w:sz w:val="22"/>
          <w:szCs w:val="22"/>
        </w:rPr>
        <w:t xml:space="preserve"> a number of initiatives have been taking including provision of </w:t>
      </w:r>
      <w:r w:rsidR="00EF3482" w:rsidRPr="00EF3482">
        <w:rPr>
          <w:rFonts w:ascii="Calibri" w:hAnsi="Calibri" w:cs="Calibri"/>
          <w:sz w:val="22"/>
          <w:szCs w:val="22"/>
        </w:rPr>
        <w:t xml:space="preserve">a </w:t>
      </w:r>
      <w:r w:rsidRPr="00EF3482">
        <w:rPr>
          <w:rFonts w:ascii="Calibri" w:hAnsi="Calibri" w:cs="Calibri"/>
          <w:sz w:val="22"/>
          <w:szCs w:val="22"/>
        </w:rPr>
        <w:t xml:space="preserve">shopping service, information, support and enforcement work with businesses, support to </w:t>
      </w:r>
      <w:r w:rsidR="00EF3482" w:rsidRPr="00EF3482">
        <w:rPr>
          <w:rFonts w:ascii="Calibri" w:hAnsi="Calibri" w:cs="Calibri"/>
          <w:sz w:val="22"/>
          <w:szCs w:val="22"/>
        </w:rPr>
        <w:t>o</w:t>
      </w:r>
      <w:r w:rsidRPr="00EF3482">
        <w:rPr>
          <w:rFonts w:ascii="Calibri" w:hAnsi="Calibri" w:cs="Calibri"/>
          <w:sz w:val="22"/>
          <w:szCs w:val="22"/>
        </w:rPr>
        <w:t xml:space="preserve">pen up the economy when we have not been in lockdown, payment of grants to businesses through a number of statutory and discretionary schemes, and support to those that are self-isolating. Monitoring of infection rates, testing and vaccination programmes and joint working on all other initiatives have been required. </w:t>
      </w:r>
    </w:p>
    <w:p w:rsidR="00C21497" w:rsidRPr="00EF3482" w:rsidRDefault="005A68C3" w:rsidP="00C21497">
      <w:pPr>
        <w:spacing w:before="120" w:after="120"/>
        <w:jc w:val="both"/>
        <w:rPr>
          <w:rFonts w:ascii="Calibri" w:hAnsi="Calibri" w:cs="Calibri"/>
          <w:sz w:val="22"/>
          <w:szCs w:val="22"/>
        </w:rPr>
      </w:pPr>
      <w:r>
        <w:rPr>
          <w:rFonts w:ascii="Calibri" w:hAnsi="Calibri" w:cs="Calibri"/>
          <w:sz w:val="22"/>
          <w:szCs w:val="22"/>
        </w:rPr>
        <w:t xml:space="preserve">In addition, </w:t>
      </w:r>
      <w:r w:rsidR="00C21497" w:rsidRPr="00EF3482">
        <w:rPr>
          <w:rFonts w:ascii="Calibri" w:hAnsi="Calibri" w:cs="Calibri"/>
          <w:sz w:val="22"/>
          <w:szCs w:val="22"/>
        </w:rPr>
        <w:t xml:space="preserve">another cross county SCG was established to manage the potential impact of departure from the European Union and a more local group was established to manage the response and recovery to a fire at Ridware House in Lichfield where 20 families </w:t>
      </w:r>
      <w:r w:rsidR="00C21497" w:rsidRPr="001D7290">
        <w:rPr>
          <w:rFonts w:ascii="Calibri" w:hAnsi="Calibri" w:cs="Calibri"/>
          <w:sz w:val="22"/>
          <w:szCs w:val="22"/>
        </w:rPr>
        <w:t>were evacuated and had</w:t>
      </w:r>
      <w:r w:rsidR="00C21497" w:rsidRPr="00EF3482">
        <w:rPr>
          <w:rFonts w:ascii="Calibri" w:hAnsi="Calibri" w:cs="Calibri"/>
          <w:sz w:val="22"/>
          <w:szCs w:val="22"/>
        </w:rPr>
        <w:t xml:space="preserve"> to be rehomed for three weeks. </w:t>
      </w:r>
    </w:p>
    <w:p w:rsidR="00E90EB3" w:rsidRPr="00B85E73" w:rsidRDefault="00253D21" w:rsidP="00253D21">
      <w:pPr>
        <w:widowControl w:val="0"/>
        <w:pBdr>
          <w:top w:val="single" w:sz="4" w:space="1" w:color="auto"/>
          <w:left w:val="single" w:sz="4" w:space="4" w:color="auto"/>
          <w:bottom w:val="single" w:sz="4" w:space="0" w:color="auto"/>
          <w:right w:val="single" w:sz="4" w:space="4" w:color="auto"/>
        </w:pBdr>
        <w:shd w:val="clear" w:color="auto" w:fill="CAB8F6"/>
        <w:spacing w:after="278" w:line="246" w:lineRule="exact"/>
        <w:ind w:left="567" w:hanging="567"/>
        <w:jc w:val="both"/>
        <w:rPr>
          <w:rFonts w:ascii="Calibri" w:eastAsia="Arial" w:hAnsi="Calibri" w:cs="Arial"/>
          <w:b/>
          <w:bCs/>
          <w:sz w:val="22"/>
          <w:szCs w:val="22"/>
          <w:lang w:eastAsia="en-GB"/>
        </w:rPr>
      </w:pPr>
      <w:r w:rsidRPr="00B85E73">
        <w:rPr>
          <w:rFonts w:ascii="Calibri" w:eastAsia="Arial" w:hAnsi="Calibri" w:cs="Arial"/>
          <w:b/>
          <w:bCs/>
          <w:sz w:val="22"/>
          <w:szCs w:val="22"/>
          <w:lang w:eastAsia="en-GB"/>
        </w:rPr>
        <w:t>B</w:t>
      </w:r>
      <w:r w:rsidRPr="00B85E73">
        <w:rPr>
          <w:rFonts w:ascii="Calibri" w:eastAsia="Arial" w:hAnsi="Calibri" w:cs="Arial"/>
          <w:b/>
          <w:bCs/>
          <w:sz w:val="22"/>
          <w:szCs w:val="22"/>
          <w:shd w:val="clear" w:color="auto" w:fill="CAB8F6"/>
          <w:lang w:eastAsia="en-GB"/>
        </w:rPr>
        <w:tab/>
        <w:t>Ensuring Openness and Comprehensive Stakeholder Engagement</w:t>
      </w:r>
    </w:p>
    <w:p w:rsidR="005D6647" w:rsidRDefault="00253D21" w:rsidP="00A1744E">
      <w:pPr>
        <w:spacing w:before="120" w:after="120"/>
        <w:jc w:val="both"/>
        <w:rPr>
          <w:rFonts w:ascii="Calibri" w:hAnsi="Calibri" w:cs="Calibri"/>
          <w:sz w:val="22"/>
          <w:szCs w:val="22"/>
        </w:rPr>
      </w:pPr>
      <w:r w:rsidRPr="005B165C">
        <w:rPr>
          <w:rFonts w:ascii="Calibri" w:hAnsi="Calibri" w:cs="Calibri"/>
          <w:sz w:val="22"/>
          <w:szCs w:val="22"/>
        </w:rPr>
        <w:t xml:space="preserve">The Council is part of a number of external partnerships which provide support to its strategic agenda. </w:t>
      </w:r>
      <w:r w:rsidR="00A1744E" w:rsidRPr="00A1744E">
        <w:rPr>
          <w:rFonts w:ascii="Calibri" w:hAnsi="Calibri" w:cs="Calibri"/>
          <w:sz w:val="22"/>
          <w:szCs w:val="22"/>
        </w:rPr>
        <w:t>These include the Stoke and Staffordshire and the Greater Birmingham and Solihull Local Enterprise Partnerships (LEP), county and regional waste partnerships, and housing and community safety partnerships. </w:t>
      </w:r>
    </w:p>
    <w:p w:rsidR="005D6647" w:rsidRDefault="00A1744E" w:rsidP="00A1744E">
      <w:pPr>
        <w:spacing w:before="120" w:after="120"/>
        <w:jc w:val="both"/>
        <w:rPr>
          <w:rFonts w:ascii="Calibri" w:hAnsi="Calibri" w:cs="Calibri"/>
          <w:sz w:val="22"/>
          <w:szCs w:val="22"/>
        </w:rPr>
      </w:pPr>
      <w:r w:rsidRPr="00A1744E">
        <w:rPr>
          <w:rFonts w:ascii="Calibri" w:hAnsi="Calibri" w:cs="Calibri"/>
          <w:sz w:val="22"/>
          <w:szCs w:val="22"/>
        </w:rPr>
        <w:t>A national review of LEP did recommend that councils should only be members of one LEP</w:t>
      </w:r>
      <w:r>
        <w:rPr>
          <w:rFonts w:ascii="Calibri" w:hAnsi="Calibri" w:cs="Calibri"/>
          <w:sz w:val="22"/>
          <w:szCs w:val="22"/>
        </w:rPr>
        <w:t>. This</w:t>
      </w:r>
      <w:r w:rsidRPr="00A1744E">
        <w:rPr>
          <w:rFonts w:ascii="Calibri" w:hAnsi="Calibri" w:cs="Calibri"/>
          <w:sz w:val="22"/>
          <w:szCs w:val="22"/>
        </w:rPr>
        <w:t xml:space="preserve"> issue has not </w:t>
      </w:r>
      <w:r>
        <w:rPr>
          <w:rFonts w:ascii="Calibri" w:hAnsi="Calibri" w:cs="Calibri"/>
          <w:sz w:val="22"/>
          <w:szCs w:val="22"/>
        </w:rPr>
        <w:t xml:space="preserve">yet </w:t>
      </w:r>
      <w:r w:rsidRPr="00A1744E">
        <w:rPr>
          <w:rFonts w:ascii="Calibri" w:hAnsi="Calibri" w:cs="Calibri"/>
          <w:sz w:val="22"/>
          <w:szCs w:val="22"/>
        </w:rPr>
        <w:t xml:space="preserve">been resolved, having been overtaken by </w:t>
      </w:r>
      <w:r>
        <w:rPr>
          <w:rFonts w:ascii="Calibri" w:hAnsi="Calibri" w:cs="Calibri"/>
          <w:sz w:val="22"/>
          <w:szCs w:val="22"/>
        </w:rPr>
        <w:t>C</w:t>
      </w:r>
      <w:r w:rsidR="0020097A">
        <w:rPr>
          <w:rFonts w:ascii="Calibri" w:hAnsi="Calibri" w:cs="Calibri"/>
          <w:sz w:val="22"/>
          <w:szCs w:val="22"/>
        </w:rPr>
        <w:t>ovid</w:t>
      </w:r>
      <w:r>
        <w:rPr>
          <w:rFonts w:ascii="Calibri" w:hAnsi="Calibri" w:cs="Calibri"/>
          <w:sz w:val="22"/>
          <w:szCs w:val="22"/>
        </w:rPr>
        <w:t>-19</w:t>
      </w:r>
      <w:r w:rsidRPr="00A1744E">
        <w:rPr>
          <w:rFonts w:ascii="Calibri" w:hAnsi="Calibri" w:cs="Calibri"/>
          <w:sz w:val="22"/>
          <w:szCs w:val="22"/>
        </w:rPr>
        <w:t xml:space="preserve"> recovery activity, and we still await further guidance. Until we are told otherwise we feel, given the economic geography of the </w:t>
      </w:r>
      <w:r>
        <w:rPr>
          <w:rFonts w:ascii="Calibri" w:hAnsi="Calibri" w:cs="Calibri"/>
          <w:sz w:val="22"/>
          <w:szCs w:val="22"/>
        </w:rPr>
        <w:t>D</w:t>
      </w:r>
      <w:r w:rsidRPr="00A1744E">
        <w:rPr>
          <w:rFonts w:ascii="Calibri" w:hAnsi="Calibri" w:cs="Calibri"/>
          <w:sz w:val="22"/>
          <w:szCs w:val="22"/>
        </w:rPr>
        <w:t>istrict, that it is most beneficial for our community and businesses that we remain in both LEP</w:t>
      </w:r>
      <w:r>
        <w:rPr>
          <w:rFonts w:ascii="Calibri" w:hAnsi="Calibri" w:cs="Calibri"/>
          <w:sz w:val="22"/>
          <w:szCs w:val="22"/>
        </w:rPr>
        <w:t xml:space="preserve">s. This will </w:t>
      </w:r>
      <w:r>
        <w:rPr>
          <w:rFonts w:ascii="Calibri" w:hAnsi="Calibri" w:cs="Calibri"/>
          <w:sz w:val="22"/>
          <w:szCs w:val="22"/>
        </w:rPr>
        <w:lastRenderedPageBreak/>
        <w:t>enable us to</w:t>
      </w:r>
      <w:r w:rsidRPr="00A1744E">
        <w:rPr>
          <w:rFonts w:ascii="Calibri" w:hAnsi="Calibri" w:cs="Calibri"/>
          <w:sz w:val="22"/>
          <w:szCs w:val="22"/>
        </w:rPr>
        <w:t xml:space="preserve"> maximise the economic growth in our District, which will be even more key following the economic impact of C</w:t>
      </w:r>
      <w:r w:rsidR="0020097A">
        <w:rPr>
          <w:rFonts w:ascii="Calibri" w:hAnsi="Calibri" w:cs="Calibri"/>
          <w:sz w:val="22"/>
          <w:szCs w:val="22"/>
        </w:rPr>
        <w:t>ovid</w:t>
      </w:r>
      <w:r w:rsidRPr="00A1744E">
        <w:rPr>
          <w:rFonts w:ascii="Calibri" w:hAnsi="Calibri" w:cs="Calibri"/>
          <w:sz w:val="22"/>
          <w:szCs w:val="22"/>
        </w:rPr>
        <w:t xml:space="preserve">-19. </w:t>
      </w:r>
    </w:p>
    <w:p w:rsidR="00A1744E" w:rsidRPr="00A1744E" w:rsidRDefault="00A1744E" w:rsidP="00A1744E">
      <w:pPr>
        <w:spacing w:before="120" w:after="120"/>
        <w:jc w:val="both"/>
        <w:rPr>
          <w:rFonts w:ascii="Calibri" w:hAnsi="Calibri" w:cs="Calibri"/>
          <w:sz w:val="22"/>
          <w:szCs w:val="22"/>
        </w:rPr>
      </w:pPr>
      <w:r w:rsidRPr="00A1744E">
        <w:rPr>
          <w:rFonts w:ascii="Calibri" w:hAnsi="Calibri" w:cs="Calibri"/>
          <w:sz w:val="22"/>
          <w:szCs w:val="22"/>
        </w:rPr>
        <w:t xml:space="preserve">Since </w:t>
      </w:r>
      <w:r>
        <w:rPr>
          <w:rFonts w:ascii="Calibri" w:hAnsi="Calibri" w:cs="Calibri"/>
          <w:sz w:val="22"/>
          <w:szCs w:val="22"/>
        </w:rPr>
        <w:t>20</w:t>
      </w:r>
      <w:r w:rsidRPr="00A1744E">
        <w:rPr>
          <w:rFonts w:ascii="Calibri" w:hAnsi="Calibri" w:cs="Calibri"/>
          <w:sz w:val="22"/>
          <w:szCs w:val="22"/>
        </w:rPr>
        <w:t>19/20</w:t>
      </w:r>
      <w:r>
        <w:rPr>
          <w:rFonts w:ascii="Calibri" w:hAnsi="Calibri" w:cs="Calibri"/>
          <w:sz w:val="22"/>
          <w:szCs w:val="22"/>
        </w:rPr>
        <w:t xml:space="preserve"> </w:t>
      </w:r>
      <w:r w:rsidRPr="00A1744E">
        <w:rPr>
          <w:rFonts w:ascii="Calibri" w:hAnsi="Calibri" w:cs="Calibri"/>
          <w:sz w:val="22"/>
          <w:szCs w:val="22"/>
        </w:rPr>
        <w:t xml:space="preserve">we have also been a part of the Staffordshire and Stoke on Trent Business Rate Pool.  </w:t>
      </w:r>
    </w:p>
    <w:p w:rsidR="00253D21" w:rsidRPr="00362E33" w:rsidRDefault="00253D21" w:rsidP="00253D21">
      <w:pPr>
        <w:spacing w:before="120" w:after="120"/>
        <w:jc w:val="both"/>
        <w:rPr>
          <w:rFonts w:ascii="Calibri" w:hAnsi="Calibri" w:cs="Calibri"/>
          <w:sz w:val="22"/>
          <w:szCs w:val="22"/>
        </w:rPr>
      </w:pPr>
      <w:r w:rsidRPr="005B165C">
        <w:rPr>
          <w:rFonts w:ascii="Calibri" w:hAnsi="Calibri" w:cs="Calibri"/>
          <w:sz w:val="22"/>
          <w:szCs w:val="22"/>
        </w:rPr>
        <w:t xml:space="preserve">We are committed to working collaboratively with a range of other partners including the County Council, education, health, housing, business, police, fire and the voluntary and community sector to achieve what is needed for our </w:t>
      </w:r>
      <w:r w:rsidRPr="00362E33">
        <w:rPr>
          <w:rFonts w:ascii="Calibri" w:hAnsi="Calibri" w:cs="Calibri"/>
          <w:sz w:val="22"/>
          <w:szCs w:val="22"/>
        </w:rPr>
        <w:t xml:space="preserve">District. We also work closely and support the voluntary, business and community sectors, to maximise the huge contribution they make to the quality of life of local communities and residents. </w:t>
      </w:r>
    </w:p>
    <w:p w:rsidR="00253D21" w:rsidRDefault="00253D21" w:rsidP="00482CBD">
      <w:pPr>
        <w:spacing w:before="120" w:after="120"/>
        <w:jc w:val="both"/>
        <w:rPr>
          <w:rFonts w:ascii="Calibri" w:hAnsi="Calibri" w:cs="Calibri"/>
          <w:sz w:val="22"/>
          <w:szCs w:val="22"/>
        </w:rPr>
      </w:pPr>
      <w:r w:rsidRPr="005B165C">
        <w:rPr>
          <w:rFonts w:ascii="Calibri" w:hAnsi="Calibri" w:cs="Calibri"/>
          <w:sz w:val="22"/>
          <w:szCs w:val="22"/>
        </w:rPr>
        <w:t xml:space="preserve">There are a number of other arrangements in place for securing customer feedback. We consult with our community using the most appropriate research and communication tools available. </w:t>
      </w:r>
    </w:p>
    <w:p w:rsidR="00482CBD" w:rsidRPr="009F48B7" w:rsidRDefault="00420883" w:rsidP="00482CBD">
      <w:pPr>
        <w:spacing w:before="120" w:after="120"/>
        <w:jc w:val="both"/>
        <w:rPr>
          <w:rFonts w:ascii="Calibri" w:hAnsi="Calibri" w:cs="Calibri"/>
          <w:sz w:val="22"/>
          <w:szCs w:val="22"/>
        </w:rPr>
      </w:pPr>
      <w:r w:rsidRPr="00482CBD">
        <w:rPr>
          <w:rFonts w:ascii="Calibri" w:hAnsi="Calibri" w:cs="Calibri"/>
          <w:sz w:val="22"/>
          <w:szCs w:val="22"/>
        </w:rPr>
        <w:t xml:space="preserve">During 2020/21, </w:t>
      </w:r>
      <w:r w:rsidR="00C0573F" w:rsidRPr="00482CBD">
        <w:rPr>
          <w:rFonts w:ascii="Calibri" w:hAnsi="Calibri" w:cs="Calibri"/>
          <w:sz w:val="22"/>
          <w:szCs w:val="22"/>
        </w:rPr>
        <w:t xml:space="preserve">the Council appointed Max Associates to produce a Sport England Strategic Outcomes </w:t>
      </w:r>
      <w:r w:rsidR="00C0573F" w:rsidRPr="009F48B7">
        <w:rPr>
          <w:rFonts w:ascii="Calibri" w:hAnsi="Calibri" w:cs="Calibri"/>
          <w:sz w:val="22"/>
          <w:szCs w:val="22"/>
        </w:rPr>
        <w:t xml:space="preserve">Planning Model and a strategic options appraisal to develop a clear approach to the future provision of effective and sustainable physical activity and sports opportunities for the District. </w:t>
      </w:r>
      <w:r w:rsidR="00482CBD" w:rsidRPr="009F48B7">
        <w:rPr>
          <w:rFonts w:ascii="Calibri" w:hAnsi="Calibri" w:cs="Calibri"/>
          <w:sz w:val="22"/>
          <w:szCs w:val="22"/>
        </w:rPr>
        <w:t>The research undertaken by Max Associates was to understand the sport and active recreation needs of Lichfield District and its residents. #</w:t>
      </w:r>
    </w:p>
    <w:p w:rsidR="00482CBD" w:rsidRPr="009F48B7" w:rsidRDefault="00482CBD" w:rsidP="00482CBD">
      <w:pPr>
        <w:spacing w:before="120" w:after="120"/>
        <w:jc w:val="both"/>
        <w:rPr>
          <w:rFonts w:ascii="Calibri" w:hAnsi="Calibri" w:cs="Calibri"/>
          <w:sz w:val="22"/>
          <w:szCs w:val="22"/>
        </w:rPr>
      </w:pPr>
      <w:r w:rsidRPr="009F48B7">
        <w:rPr>
          <w:rFonts w:ascii="Calibri" w:hAnsi="Calibri" w:cs="Calibri"/>
          <w:sz w:val="22"/>
          <w:szCs w:val="22"/>
        </w:rPr>
        <w:t xml:space="preserve">The work followed a clear process set out in Sport England’s Strategic Outcomes Planning Guidance (SOPG), which seeks to engage with local communities to understand barriers to participation and opportunities for behaviour change. The research was community focused, delivering </w:t>
      </w:r>
      <w:r w:rsidRPr="009F48B7">
        <w:rPr>
          <w:rFonts w:ascii="Calibri" w:hAnsi="Calibri" w:cs="Calibri"/>
          <w:b/>
          <w:sz w:val="22"/>
          <w:szCs w:val="22"/>
        </w:rPr>
        <w:t>500</w:t>
      </w:r>
      <w:r w:rsidRPr="009F48B7">
        <w:rPr>
          <w:rFonts w:ascii="Calibri" w:hAnsi="Calibri" w:cs="Calibri"/>
          <w:sz w:val="22"/>
          <w:szCs w:val="22"/>
        </w:rPr>
        <w:t xml:space="preserve"> face-to-face interviews and an online survey garnering </w:t>
      </w:r>
      <w:r w:rsidRPr="009F48B7">
        <w:rPr>
          <w:rFonts w:ascii="Calibri" w:hAnsi="Calibri" w:cs="Calibri"/>
          <w:b/>
          <w:sz w:val="22"/>
          <w:szCs w:val="22"/>
        </w:rPr>
        <w:t>386</w:t>
      </w:r>
      <w:r w:rsidRPr="009F48B7">
        <w:rPr>
          <w:rFonts w:ascii="Calibri" w:hAnsi="Calibri" w:cs="Calibri"/>
          <w:sz w:val="22"/>
          <w:szCs w:val="22"/>
        </w:rPr>
        <w:t xml:space="preserve"> responses. In-depth focus groups were also held with </w:t>
      </w:r>
      <w:r w:rsidRPr="009F48B7">
        <w:rPr>
          <w:rFonts w:ascii="Calibri" w:hAnsi="Calibri" w:cs="Calibri"/>
          <w:b/>
          <w:sz w:val="22"/>
          <w:szCs w:val="22"/>
        </w:rPr>
        <w:t>4</w:t>
      </w:r>
      <w:r w:rsidRPr="009F48B7">
        <w:rPr>
          <w:rFonts w:ascii="Calibri" w:hAnsi="Calibri" w:cs="Calibri"/>
          <w:sz w:val="22"/>
          <w:szCs w:val="22"/>
        </w:rPr>
        <w:t xml:space="preserve"> cohorts who frequently struggle to access recreational opportunities: inactive adults, people with disabilities, young people and older adults. </w:t>
      </w:r>
    </w:p>
    <w:p w:rsidR="005B0812" w:rsidRPr="009F48B7" w:rsidRDefault="005B0812" w:rsidP="00482CBD">
      <w:pPr>
        <w:jc w:val="both"/>
        <w:rPr>
          <w:rFonts w:ascii="Calibri" w:hAnsi="Calibri" w:cs="Calibri"/>
          <w:sz w:val="22"/>
          <w:szCs w:val="22"/>
        </w:rPr>
      </w:pPr>
      <w:r w:rsidRPr="009F48B7">
        <w:rPr>
          <w:rFonts w:ascii="Calibri" w:hAnsi="Calibri" w:cs="Calibri"/>
          <w:sz w:val="22"/>
          <w:szCs w:val="22"/>
        </w:rPr>
        <w:t xml:space="preserve">Whilst the online survey could be accessed by groups and clubs as well as individuals, consultation with organised sport focused on National Governing Bodies of Sport (NGBs). The initial NGB consultation </w:t>
      </w:r>
      <w:r w:rsidR="00482CBD" w:rsidRPr="009F48B7">
        <w:rPr>
          <w:rFonts w:ascii="Calibri" w:hAnsi="Calibri" w:cs="Calibri"/>
          <w:sz w:val="22"/>
          <w:szCs w:val="22"/>
        </w:rPr>
        <w:t xml:space="preserve">took </w:t>
      </w:r>
      <w:r w:rsidRPr="009F48B7">
        <w:rPr>
          <w:rFonts w:ascii="Calibri" w:hAnsi="Calibri" w:cs="Calibri"/>
          <w:sz w:val="22"/>
          <w:szCs w:val="22"/>
        </w:rPr>
        <w:t>place during the first national lockdown and as such the response was disappointing and is currently being re-run.</w:t>
      </w:r>
    </w:p>
    <w:p w:rsidR="00570A32" w:rsidRDefault="00B57296" w:rsidP="00570A32">
      <w:pPr>
        <w:spacing w:before="120" w:after="120"/>
        <w:jc w:val="both"/>
        <w:rPr>
          <w:rFonts w:ascii="Calibri" w:hAnsi="Calibri" w:cs="Calibri"/>
          <w:sz w:val="22"/>
          <w:szCs w:val="22"/>
        </w:rPr>
      </w:pPr>
      <w:r w:rsidRPr="009F48B7">
        <w:rPr>
          <w:rFonts w:ascii="Calibri" w:hAnsi="Calibri" w:cs="Calibri"/>
          <w:sz w:val="22"/>
          <w:szCs w:val="22"/>
        </w:rPr>
        <w:t>Consultation also took place during 2020/21 on the Council’s draft events and festivals policy and procedure</w:t>
      </w:r>
      <w:r w:rsidR="00570A32" w:rsidRPr="009F48B7">
        <w:rPr>
          <w:rFonts w:ascii="Calibri" w:hAnsi="Calibri" w:cs="Calibri"/>
          <w:sz w:val="22"/>
          <w:szCs w:val="22"/>
        </w:rPr>
        <w:t>,</w:t>
      </w:r>
      <w:r w:rsidRPr="009F48B7">
        <w:rPr>
          <w:rFonts w:ascii="Calibri" w:hAnsi="Calibri" w:cs="Calibri"/>
          <w:sz w:val="22"/>
          <w:szCs w:val="22"/>
        </w:rPr>
        <w:t xml:space="preserve"> and associated draft guide </w:t>
      </w:r>
      <w:r w:rsidR="00570A32" w:rsidRPr="009F48B7">
        <w:rPr>
          <w:rFonts w:ascii="Calibri" w:hAnsi="Calibri" w:cs="Calibri"/>
          <w:sz w:val="22"/>
          <w:szCs w:val="22"/>
        </w:rPr>
        <w:t>to</w:t>
      </w:r>
      <w:r w:rsidR="00570A32">
        <w:rPr>
          <w:rFonts w:ascii="Calibri" w:hAnsi="Calibri" w:cs="Calibri"/>
          <w:sz w:val="22"/>
          <w:szCs w:val="22"/>
        </w:rPr>
        <w:t xml:space="preserve"> organising an event in </w:t>
      </w:r>
      <w:r w:rsidRPr="00B57296">
        <w:rPr>
          <w:rFonts w:ascii="Calibri" w:hAnsi="Calibri" w:cs="Calibri"/>
          <w:sz w:val="22"/>
          <w:szCs w:val="22"/>
        </w:rPr>
        <w:t>Lichfield </w:t>
      </w:r>
      <w:r w:rsidR="00570A32">
        <w:rPr>
          <w:rFonts w:ascii="Calibri" w:hAnsi="Calibri" w:cs="Calibri"/>
          <w:sz w:val="22"/>
          <w:szCs w:val="22"/>
        </w:rPr>
        <w:t xml:space="preserve">District. Both documents were created </w:t>
      </w:r>
      <w:r w:rsidRPr="00B57296">
        <w:rPr>
          <w:rFonts w:ascii="Calibri" w:hAnsi="Calibri" w:cs="Calibri"/>
          <w:sz w:val="22"/>
          <w:szCs w:val="22"/>
        </w:rPr>
        <w:t xml:space="preserve">to facilitate the continued delivery of high quality, well run events and festivals in </w:t>
      </w:r>
      <w:r w:rsidR="00570A32">
        <w:rPr>
          <w:rFonts w:ascii="Calibri" w:hAnsi="Calibri" w:cs="Calibri"/>
          <w:sz w:val="22"/>
          <w:szCs w:val="22"/>
        </w:rPr>
        <w:t xml:space="preserve">the District, </w:t>
      </w:r>
      <w:r w:rsidRPr="00B57296">
        <w:rPr>
          <w:rFonts w:ascii="Calibri" w:hAnsi="Calibri" w:cs="Calibri"/>
          <w:sz w:val="22"/>
          <w:szCs w:val="22"/>
        </w:rPr>
        <w:t>to ensure that the</w:t>
      </w:r>
      <w:r w:rsidR="00570A32">
        <w:rPr>
          <w:rFonts w:ascii="Calibri" w:hAnsi="Calibri" w:cs="Calibri"/>
          <w:sz w:val="22"/>
          <w:szCs w:val="22"/>
        </w:rPr>
        <w:t>se</w:t>
      </w:r>
      <w:r w:rsidRPr="00B57296">
        <w:rPr>
          <w:rFonts w:ascii="Calibri" w:hAnsi="Calibri" w:cs="Calibri"/>
          <w:sz w:val="22"/>
          <w:szCs w:val="22"/>
        </w:rPr>
        <w:t xml:space="preserve"> are well managed, add to the economic growth of the </w:t>
      </w:r>
      <w:r w:rsidR="00570A32">
        <w:rPr>
          <w:rFonts w:ascii="Calibri" w:hAnsi="Calibri" w:cs="Calibri"/>
          <w:sz w:val="22"/>
          <w:szCs w:val="22"/>
        </w:rPr>
        <w:t>D</w:t>
      </w:r>
      <w:r w:rsidRPr="00B57296">
        <w:rPr>
          <w:rFonts w:ascii="Calibri" w:hAnsi="Calibri" w:cs="Calibri"/>
          <w:sz w:val="22"/>
          <w:szCs w:val="22"/>
        </w:rPr>
        <w:t>istrict and are enjoyable for</w:t>
      </w:r>
      <w:r w:rsidR="00570A32">
        <w:rPr>
          <w:rFonts w:ascii="Calibri" w:hAnsi="Calibri" w:cs="Calibri"/>
          <w:sz w:val="22"/>
          <w:szCs w:val="22"/>
        </w:rPr>
        <w:t xml:space="preserve"> all. </w:t>
      </w:r>
    </w:p>
    <w:p w:rsidR="008839A5" w:rsidRPr="005B0812" w:rsidRDefault="008839A5" w:rsidP="008839A5">
      <w:pPr>
        <w:spacing w:before="120" w:after="120"/>
        <w:jc w:val="both"/>
        <w:rPr>
          <w:rFonts w:ascii="Calibri" w:hAnsi="Calibri" w:cs="Calibri"/>
          <w:sz w:val="22"/>
          <w:szCs w:val="22"/>
        </w:rPr>
      </w:pPr>
      <w:r w:rsidRPr="008839A5">
        <w:rPr>
          <w:rFonts w:ascii="Calibri" w:hAnsi="Calibri" w:cs="Calibri"/>
          <w:sz w:val="22"/>
          <w:szCs w:val="22"/>
        </w:rPr>
        <w:t>The Council undertook a Budget Consultation exercise between 22 October 2020 and 31 December 2020.</w:t>
      </w:r>
      <w:r>
        <w:rPr>
          <w:rFonts w:ascii="Calibri" w:hAnsi="Calibri" w:cs="Calibri"/>
          <w:sz w:val="22"/>
          <w:szCs w:val="22"/>
        </w:rPr>
        <w:t xml:space="preserve"> </w:t>
      </w:r>
      <w:r w:rsidRPr="008839A5">
        <w:rPr>
          <w:rFonts w:ascii="Calibri" w:hAnsi="Calibri" w:cs="Calibri"/>
          <w:sz w:val="22"/>
          <w:szCs w:val="22"/>
        </w:rPr>
        <w:t xml:space="preserve">The questionnaire was accessible on-line through the Council’s website and promoted through the media and social media. The budget consultation was also promoted in the printed LDC news magazine distributed </w:t>
      </w:r>
      <w:r w:rsidRPr="009F48B7">
        <w:rPr>
          <w:rFonts w:ascii="Calibri" w:hAnsi="Calibri" w:cs="Calibri"/>
          <w:sz w:val="22"/>
          <w:szCs w:val="22"/>
        </w:rPr>
        <w:t xml:space="preserve">to </w:t>
      </w:r>
      <w:r w:rsidRPr="009F48B7">
        <w:rPr>
          <w:rFonts w:ascii="Calibri" w:hAnsi="Calibri" w:cs="Calibri"/>
          <w:b/>
          <w:sz w:val="22"/>
          <w:szCs w:val="22"/>
        </w:rPr>
        <w:t>44,000</w:t>
      </w:r>
      <w:r w:rsidRPr="009F48B7">
        <w:rPr>
          <w:rFonts w:ascii="Calibri" w:hAnsi="Calibri" w:cs="Calibri"/>
          <w:sz w:val="22"/>
          <w:szCs w:val="22"/>
        </w:rPr>
        <w:t xml:space="preserve"> homes in November 2020 and through a newly launched e-news that was sent to </w:t>
      </w:r>
      <w:r w:rsidRPr="009F48B7">
        <w:rPr>
          <w:rFonts w:ascii="Calibri" w:hAnsi="Calibri" w:cs="Calibri"/>
          <w:b/>
          <w:sz w:val="22"/>
          <w:szCs w:val="22"/>
        </w:rPr>
        <w:t>6,000</w:t>
      </w:r>
      <w:r w:rsidRPr="009F48B7">
        <w:rPr>
          <w:rFonts w:ascii="Calibri" w:hAnsi="Calibri" w:cs="Calibri"/>
          <w:sz w:val="22"/>
          <w:szCs w:val="22"/>
        </w:rPr>
        <w:t xml:space="preserve"> subscribers.</w:t>
      </w:r>
      <w:r w:rsidR="005B0812" w:rsidRPr="009F48B7">
        <w:rPr>
          <w:rFonts w:ascii="Calibri" w:hAnsi="Calibri" w:cs="Calibri"/>
          <w:sz w:val="22"/>
          <w:szCs w:val="22"/>
        </w:rPr>
        <w:t xml:space="preserve"> </w:t>
      </w:r>
      <w:r w:rsidR="005B0812" w:rsidRPr="009F48B7">
        <w:rPr>
          <w:rFonts w:ascii="Calibri" w:hAnsi="Calibri" w:cs="Calibri"/>
          <w:b/>
          <w:sz w:val="22"/>
          <w:szCs w:val="22"/>
        </w:rPr>
        <w:t xml:space="preserve">150 </w:t>
      </w:r>
      <w:r w:rsidR="005B0812" w:rsidRPr="009F48B7">
        <w:rPr>
          <w:rFonts w:ascii="Calibri" w:hAnsi="Calibri" w:cs="Calibri"/>
          <w:sz w:val="22"/>
          <w:szCs w:val="22"/>
        </w:rPr>
        <w:t>responses were received.</w:t>
      </w:r>
    </w:p>
    <w:p w:rsidR="005A68C3" w:rsidRPr="00590740" w:rsidRDefault="00590740" w:rsidP="005A68C3">
      <w:pPr>
        <w:spacing w:before="120" w:after="120"/>
        <w:jc w:val="both"/>
        <w:rPr>
          <w:rFonts w:ascii="Calibri" w:hAnsi="Calibri" w:cs="Calibri"/>
          <w:sz w:val="22"/>
          <w:szCs w:val="22"/>
        </w:rPr>
      </w:pPr>
      <w:r w:rsidRPr="00780A83">
        <w:rPr>
          <w:rFonts w:ascii="Calibri" w:hAnsi="Calibri" w:cs="Calibri"/>
          <w:sz w:val="22"/>
          <w:szCs w:val="22"/>
        </w:rPr>
        <w:t>Th</w:t>
      </w:r>
      <w:r w:rsidR="00780A83" w:rsidRPr="00780A83">
        <w:rPr>
          <w:rFonts w:ascii="Calibri" w:hAnsi="Calibri" w:cs="Calibri"/>
          <w:sz w:val="22"/>
          <w:szCs w:val="22"/>
        </w:rPr>
        <w:t xml:space="preserve">e Council also consults with its </w:t>
      </w:r>
      <w:r w:rsidR="005A68C3">
        <w:rPr>
          <w:rFonts w:ascii="Calibri" w:hAnsi="Calibri" w:cs="Calibri"/>
          <w:sz w:val="22"/>
          <w:szCs w:val="22"/>
        </w:rPr>
        <w:t>M</w:t>
      </w:r>
      <w:r w:rsidR="00780A83" w:rsidRPr="00780A83">
        <w:rPr>
          <w:rFonts w:ascii="Calibri" w:hAnsi="Calibri" w:cs="Calibri"/>
          <w:sz w:val="22"/>
          <w:szCs w:val="22"/>
        </w:rPr>
        <w:t>embers</w:t>
      </w:r>
      <w:r w:rsidRPr="00780A83">
        <w:rPr>
          <w:rFonts w:ascii="Calibri" w:hAnsi="Calibri" w:cs="Calibri"/>
          <w:sz w:val="22"/>
          <w:szCs w:val="22"/>
        </w:rPr>
        <w:t>. For example, i</w:t>
      </w:r>
      <w:r w:rsidRPr="00590740">
        <w:rPr>
          <w:rFonts w:ascii="Calibri" w:eastAsiaTheme="minorHAnsi" w:hAnsi="Calibri" w:cs="Calibri"/>
          <w:sz w:val="22"/>
          <w:szCs w:val="22"/>
        </w:rPr>
        <w:t xml:space="preserve">n November </w:t>
      </w:r>
      <w:r w:rsidRPr="00780A83">
        <w:rPr>
          <w:rFonts w:ascii="Calibri" w:eastAsiaTheme="minorHAnsi" w:hAnsi="Calibri" w:cs="Calibri"/>
          <w:sz w:val="22"/>
          <w:szCs w:val="22"/>
        </w:rPr>
        <w:t xml:space="preserve">2020, </w:t>
      </w:r>
      <w:r w:rsidRPr="00590740">
        <w:rPr>
          <w:rFonts w:ascii="Calibri" w:eastAsiaTheme="minorHAnsi" w:hAnsi="Calibri" w:cs="Calibri"/>
          <w:sz w:val="22"/>
          <w:szCs w:val="22"/>
        </w:rPr>
        <w:t>Strategic O</w:t>
      </w:r>
      <w:r w:rsidRPr="00780A83">
        <w:rPr>
          <w:rFonts w:ascii="Calibri" w:eastAsiaTheme="minorHAnsi" w:hAnsi="Calibri" w:cs="Calibri"/>
          <w:sz w:val="22"/>
          <w:szCs w:val="22"/>
        </w:rPr>
        <w:t xml:space="preserve">verview and </w:t>
      </w:r>
      <w:r w:rsidRPr="00590740">
        <w:rPr>
          <w:rFonts w:ascii="Calibri" w:eastAsiaTheme="minorHAnsi" w:hAnsi="Calibri" w:cs="Calibri"/>
          <w:sz w:val="22"/>
          <w:szCs w:val="22"/>
        </w:rPr>
        <w:t>S</w:t>
      </w:r>
      <w:r w:rsidRPr="00780A83">
        <w:rPr>
          <w:rFonts w:ascii="Calibri" w:eastAsiaTheme="minorHAnsi" w:hAnsi="Calibri" w:cs="Calibri"/>
          <w:sz w:val="22"/>
          <w:szCs w:val="22"/>
        </w:rPr>
        <w:t>crutiny</w:t>
      </w:r>
      <w:r w:rsidRPr="00590740">
        <w:rPr>
          <w:rFonts w:ascii="Calibri" w:eastAsiaTheme="minorHAnsi" w:hAnsi="Calibri" w:cs="Calibri"/>
          <w:sz w:val="22"/>
          <w:szCs w:val="22"/>
        </w:rPr>
        <w:t xml:space="preserve"> created a Task Group to review committee structures and make recommendations for improvements. </w:t>
      </w:r>
      <w:r w:rsidR="005A68C3" w:rsidRPr="00780A83">
        <w:rPr>
          <w:rFonts w:ascii="Calibri" w:eastAsiaTheme="minorHAnsi" w:hAnsi="Calibri" w:cs="Calibri"/>
          <w:sz w:val="22"/>
          <w:szCs w:val="22"/>
        </w:rPr>
        <w:t xml:space="preserve">Strategic </w:t>
      </w:r>
      <w:r w:rsidR="005A68C3" w:rsidRPr="00590740">
        <w:rPr>
          <w:rFonts w:ascii="Calibri" w:eastAsiaTheme="minorHAnsi" w:hAnsi="Calibri" w:cs="Calibri"/>
          <w:sz w:val="22"/>
          <w:szCs w:val="22"/>
        </w:rPr>
        <w:t>O</w:t>
      </w:r>
      <w:r w:rsidR="005A68C3" w:rsidRPr="00780A83">
        <w:rPr>
          <w:rFonts w:ascii="Calibri" w:eastAsiaTheme="minorHAnsi" w:hAnsi="Calibri" w:cs="Calibri"/>
          <w:sz w:val="22"/>
          <w:szCs w:val="22"/>
        </w:rPr>
        <w:t xml:space="preserve">verview and </w:t>
      </w:r>
      <w:r w:rsidR="005A68C3" w:rsidRPr="00590740">
        <w:rPr>
          <w:rFonts w:ascii="Calibri" w:eastAsiaTheme="minorHAnsi" w:hAnsi="Calibri" w:cs="Calibri"/>
          <w:sz w:val="22"/>
          <w:szCs w:val="22"/>
        </w:rPr>
        <w:t>S</w:t>
      </w:r>
      <w:r w:rsidR="005A68C3" w:rsidRPr="00780A83">
        <w:rPr>
          <w:rFonts w:ascii="Calibri" w:eastAsiaTheme="minorHAnsi" w:hAnsi="Calibri" w:cs="Calibri"/>
          <w:sz w:val="22"/>
          <w:szCs w:val="22"/>
        </w:rPr>
        <w:t>crutiny</w:t>
      </w:r>
      <w:r w:rsidR="005A68C3" w:rsidRPr="00590740">
        <w:rPr>
          <w:rFonts w:ascii="Calibri" w:eastAsiaTheme="minorHAnsi" w:hAnsi="Calibri" w:cs="Calibri"/>
          <w:sz w:val="22"/>
          <w:szCs w:val="22"/>
        </w:rPr>
        <w:t xml:space="preserve"> accepted the findings in January </w:t>
      </w:r>
      <w:r w:rsidR="005A68C3" w:rsidRPr="00780A83">
        <w:rPr>
          <w:rFonts w:ascii="Calibri" w:eastAsiaTheme="minorHAnsi" w:hAnsi="Calibri" w:cs="Calibri"/>
          <w:sz w:val="22"/>
          <w:szCs w:val="22"/>
        </w:rPr>
        <w:t>2021</w:t>
      </w:r>
      <w:r w:rsidR="005A68C3">
        <w:rPr>
          <w:rFonts w:ascii="Calibri" w:eastAsiaTheme="minorHAnsi" w:hAnsi="Calibri" w:cs="Calibri"/>
          <w:sz w:val="22"/>
          <w:szCs w:val="22"/>
        </w:rPr>
        <w:t>,</w:t>
      </w:r>
      <w:r w:rsidR="005A68C3" w:rsidRPr="00780A83">
        <w:rPr>
          <w:rFonts w:ascii="Calibri" w:eastAsiaTheme="minorHAnsi" w:hAnsi="Calibri" w:cs="Calibri"/>
          <w:sz w:val="22"/>
          <w:szCs w:val="22"/>
        </w:rPr>
        <w:t xml:space="preserve"> </w:t>
      </w:r>
      <w:r w:rsidR="005A68C3" w:rsidRPr="00590740">
        <w:rPr>
          <w:rFonts w:ascii="Calibri" w:eastAsiaTheme="minorHAnsi" w:hAnsi="Calibri" w:cs="Calibri"/>
          <w:sz w:val="22"/>
          <w:szCs w:val="22"/>
        </w:rPr>
        <w:t xml:space="preserve">and Cabinet </w:t>
      </w:r>
      <w:r w:rsidR="005A68C3" w:rsidRPr="00780A83">
        <w:rPr>
          <w:rFonts w:ascii="Calibri" w:eastAsiaTheme="minorHAnsi" w:hAnsi="Calibri" w:cs="Calibri"/>
          <w:sz w:val="22"/>
          <w:szCs w:val="22"/>
        </w:rPr>
        <w:t>will</w:t>
      </w:r>
      <w:r w:rsidR="005A68C3" w:rsidRPr="00590740">
        <w:rPr>
          <w:rFonts w:ascii="Calibri" w:eastAsiaTheme="minorHAnsi" w:hAnsi="Calibri" w:cs="Calibri"/>
          <w:sz w:val="22"/>
          <w:szCs w:val="22"/>
        </w:rPr>
        <w:t xml:space="preserve"> review the </w:t>
      </w:r>
      <w:r w:rsidR="005A68C3" w:rsidRPr="00590740">
        <w:rPr>
          <w:rFonts w:ascii="Calibri" w:hAnsi="Calibri" w:cs="Calibri"/>
          <w:sz w:val="22"/>
          <w:szCs w:val="22"/>
        </w:rPr>
        <w:t xml:space="preserve">proposals in early April for Council to </w:t>
      </w:r>
      <w:r w:rsidR="005A68C3" w:rsidRPr="001B330D">
        <w:rPr>
          <w:rFonts w:ascii="Calibri" w:hAnsi="Calibri" w:cs="Calibri"/>
          <w:sz w:val="22"/>
          <w:szCs w:val="22"/>
        </w:rPr>
        <w:t xml:space="preserve">then </w:t>
      </w:r>
      <w:r w:rsidR="005A68C3" w:rsidRPr="00590740">
        <w:rPr>
          <w:rFonts w:ascii="Calibri" w:hAnsi="Calibri" w:cs="Calibri"/>
          <w:sz w:val="22"/>
          <w:szCs w:val="22"/>
        </w:rPr>
        <w:t>consider.</w:t>
      </w:r>
    </w:p>
    <w:p w:rsidR="001B330D" w:rsidRPr="001B330D" w:rsidRDefault="009D7DA2" w:rsidP="001B330D">
      <w:pPr>
        <w:spacing w:before="120" w:after="120"/>
        <w:jc w:val="both"/>
        <w:rPr>
          <w:rFonts w:ascii="Calibri" w:hAnsi="Calibri" w:cs="Calibri"/>
          <w:sz w:val="22"/>
          <w:szCs w:val="22"/>
        </w:rPr>
      </w:pPr>
      <w:r>
        <w:rPr>
          <w:rFonts w:ascii="Calibri" w:eastAsiaTheme="minorHAnsi" w:hAnsi="Calibri" w:cs="Calibri"/>
          <w:sz w:val="22"/>
          <w:szCs w:val="22"/>
        </w:rPr>
        <w:t>In addition, th</w:t>
      </w:r>
      <w:r w:rsidR="001B330D" w:rsidRPr="001B330D">
        <w:rPr>
          <w:rFonts w:ascii="Calibri" w:eastAsiaTheme="minorHAnsi" w:hAnsi="Calibri" w:cs="Calibri"/>
          <w:sz w:val="22"/>
          <w:szCs w:val="22"/>
        </w:rPr>
        <w:t xml:space="preserve">e Council consulted with its officers during 2020/21 via its home working survey that took place in May 2020. </w:t>
      </w:r>
      <w:r w:rsidR="00F10F3D">
        <w:rPr>
          <w:rFonts w:ascii="Calibri" w:eastAsiaTheme="minorHAnsi" w:hAnsi="Calibri" w:cs="Calibri"/>
          <w:sz w:val="22"/>
          <w:szCs w:val="22"/>
        </w:rPr>
        <w:t>T</w:t>
      </w:r>
      <w:r w:rsidR="001B330D" w:rsidRPr="001B330D">
        <w:rPr>
          <w:rFonts w:ascii="Calibri" w:eastAsiaTheme="minorHAnsi" w:hAnsi="Calibri" w:cs="Calibri"/>
          <w:sz w:val="22"/>
          <w:szCs w:val="22"/>
        </w:rPr>
        <w:t>he responses provided a wealth of information</w:t>
      </w:r>
      <w:r w:rsidR="00F10F3D">
        <w:rPr>
          <w:rFonts w:ascii="Calibri" w:eastAsiaTheme="minorHAnsi" w:hAnsi="Calibri" w:cs="Calibri"/>
          <w:sz w:val="22"/>
          <w:szCs w:val="22"/>
        </w:rPr>
        <w:t xml:space="preserve">, including about </w:t>
      </w:r>
      <w:r w:rsidR="001B330D" w:rsidRPr="001B330D">
        <w:rPr>
          <w:rFonts w:ascii="Calibri" w:eastAsiaTheme="minorHAnsi" w:hAnsi="Calibri" w:cs="Calibri"/>
          <w:sz w:val="22"/>
          <w:szCs w:val="22"/>
        </w:rPr>
        <w:t xml:space="preserve">the numbers happily working at home, </w:t>
      </w:r>
      <w:r w:rsidR="001B330D" w:rsidRPr="001B330D">
        <w:rPr>
          <w:rFonts w:ascii="Calibri" w:hAnsi="Calibri" w:cs="Calibri"/>
          <w:sz w:val="22"/>
          <w:szCs w:val="22"/>
        </w:rPr>
        <w:t xml:space="preserve">how productive they were, about their workspace and their feelings of their work home balance. </w:t>
      </w:r>
    </w:p>
    <w:p w:rsidR="00F10F3D" w:rsidRPr="0020097A" w:rsidRDefault="00713AC3" w:rsidP="00F46EB7">
      <w:pPr>
        <w:spacing w:before="120" w:after="120"/>
        <w:jc w:val="both"/>
        <w:rPr>
          <w:rFonts w:ascii="Calibri" w:eastAsiaTheme="minorHAnsi" w:hAnsi="Calibri" w:cs="Calibri"/>
          <w:sz w:val="22"/>
          <w:szCs w:val="22"/>
        </w:rPr>
      </w:pPr>
      <w:r>
        <w:rPr>
          <w:rFonts w:ascii="Calibri" w:eastAsiaTheme="minorHAnsi" w:hAnsi="Calibri" w:cs="Calibri"/>
          <w:sz w:val="22"/>
          <w:szCs w:val="22"/>
        </w:rPr>
        <w:t xml:space="preserve">The Council carried out further consultation with it officers via its Wellbeing survey that took place in July 2020. This survey focussed on the impact of the Covid-19 pandemic on the workforce and their families. </w:t>
      </w:r>
      <w:r w:rsidR="00F10F3D">
        <w:rPr>
          <w:rFonts w:ascii="Calibri" w:eastAsiaTheme="minorHAnsi" w:hAnsi="Calibri" w:cs="Calibri"/>
          <w:sz w:val="22"/>
          <w:szCs w:val="22"/>
        </w:rPr>
        <w:t xml:space="preserve">This gave a </w:t>
      </w:r>
      <w:r w:rsidR="0020097A">
        <w:rPr>
          <w:rFonts w:ascii="Calibri" w:eastAsiaTheme="minorHAnsi" w:hAnsi="Calibri" w:cs="Calibri"/>
          <w:sz w:val="22"/>
          <w:szCs w:val="22"/>
        </w:rPr>
        <w:t xml:space="preserve">good insight as to how some of the staff were feeling and the sort of support </w:t>
      </w:r>
      <w:r w:rsidR="0020097A">
        <w:rPr>
          <w:rFonts w:ascii="Calibri" w:eastAsiaTheme="minorHAnsi" w:hAnsi="Calibri" w:cs="Calibri"/>
          <w:sz w:val="22"/>
          <w:szCs w:val="22"/>
        </w:rPr>
        <w:lastRenderedPageBreak/>
        <w:t>needed going forward. A response plan was then developed with the support of the internal Health and Wellbeing Group and this was communicated to all staff.</w:t>
      </w:r>
      <w:r>
        <w:rPr>
          <w:rFonts w:ascii="Calibri" w:eastAsiaTheme="minorHAnsi" w:hAnsi="Calibri" w:cs="Calibri"/>
          <w:sz w:val="22"/>
          <w:szCs w:val="22"/>
        </w:rPr>
        <w:t xml:space="preserve"> </w:t>
      </w:r>
    </w:p>
    <w:p w:rsidR="006C4E5F" w:rsidRDefault="00253D21" w:rsidP="00253D21">
      <w:pPr>
        <w:spacing w:before="120" w:after="120"/>
        <w:jc w:val="both"/>
        <w:rPr>
          <w:rFonts w:ascii="Calibri" w:hAnsi="Calibri" w:cs="Calibri"/>
          <w:sz w:val="22"/>
          <w:szCs w:val="22"/>
        </w:rPr>
      </w:pPr>
      <w:r w:rsidRPr="005B165C">
        <w:rPr>
          <w:rFonts w:ascii="Calibri" w:hAnsi="Calibri" w:cs="Calibri"/>
          <w:sz w:val="22"/>
          <w:szCs w:val="22"/>
        </w:rPr>
        <w:t xml:space="preserve">The Council endeavours to be open and transparent about its decisions. To ensure maximum transparency, reports containing confidential information are split into confidential and non-confidential sections. </w:t>
      </w:r>
    </w:p>
    <w:p w:rsidR="00253D21" w:rsidRPr="00362E33" w:rsidRDefault="00253D21" w:rsidP="00253D21">
      <w:pPr>
        <w:spacing w:before="120" w:after="120"/>
        <w:jc w:val="both"/>
        <w:rPr>
          <w:rFonts w:ascii="Calibri" w:hAnsi="Calibri" w:cs="Calibri"/>
          <w:sz w:val="22"/>
          <w:szCs w:val="22"/>
        </w:rPr>
      </w:pPr>
      <w:r w:rsidRPr="00362E33">
        <w:rPr>
          <w:rFonts w:ascii="Calibri" w:hAnsi="Calibri" w:cs="Calibri"/>
          <w:sz w:val="22"/>
          <w:szCs w:val="22"/>
        </w:rPr>
        <w:t>However, the Council also needs to ensure that it gets the balance right between transparency and maintaining appropriate levels of confidentiality. A report on the Rules of Confidentiality was approved by Audit and Member Standards Committee in November 2019. This outlined the Council’s legal obligations in ensuring that what must, or ought to, remain private is kept private, and what must be disclosed. It also outlined the approach to determining whether information should be kept private.</w:t>
      </w:r>
    </w:p>
    <w:p w:rsidR="00F46EB7" w:rsidRDefault="00253D21" w:rsidP="00253D21">
      <w:pPr>
        <w:spacing w:before="120" w:after="120"/>
        <w:jc w:val="both"/>
        <w:rPr>
          <w:rFonts w:ascii="Calibri" w:hAnsi="Calibri" w:cs="Calibri"/>
          <w:sz w:val="22"/>
          <w:szCs w:val="22"/>
        </w:rPr>
      </w:pPr>
      <w:r w:rsidRPr="005B165C">
        <w:rPr>
          <w:rFonts w:ascii="Calibri" w:hAnsi="Calibri" w:cs="Calibri"/>
          <w:sz w:val="22"/>
          <w:szCs w:val="22"/>
        </w:rPr>
        <w:t>The Council maintains a website for customers</w:t>
      </w:r>
      <w:r w:rsidRPr="00F46EB7">
        <w:rPr>
          <w:rFonts w:ascii="Calibri" w:hAnsi="Calibri" w:cs="Calibri"/>
          <w:sz w:val="22"/>
          <w:szCs w:val="22"/>
        </w:rPr>
        <w:t xml:space="preserve">. In May 2019, a more modern version was launched that works from the same software package as our digital forms to make it easier to manage the digital platforms and interactions with customers. </w:t>
      </w:r>
    </w:p>
    <w:p w:rsidR="005D6647" w:rsidRDefault="00253D21" w:rsidP="00253D21">
      <w:pPr>
        <w:spacing w:before="120" w:after="120"/>
        <w:jc w:val="both"/>
        <w:rPr>
          <w:rFonts w:ascii="Calibri" w:hAnsi="Calibri" w:cs="Calibri"/>
          <w:sz w:val="22"/>
          <w:szCs w:val="22"/>
        </w:rPr>
      </w:pPr>
      <w:r w:rsidRPr="005B165C">
        <w:rPr>
          <w:rFonts w:ascii="Calibri" w:hAnsi="Calibri" w:cs="Calibri"/>
          <w:sz w:val="22"/>
          <w:szCs w:val="22"/>
        </w:rPr>
        <w:t xml:space="preserve">The Council manages a number of social media streams including Facebook and Twitter. In addition, we maintain a suite of supporting websites that help underpin the Council’s strategic ambitions, including tourism destination website </w:t>
      </w:r>
      <w:hyperlink r:id="rId13" w:history="1">
        <w:r w:rsidRPr="005B165C">
          <w:rPr>
            <w:rFonts w:ascii="Calibri" w:hAnsi="Calibri" w:cs="Calibri"/>
            <w:sz w:val="22"/>
            <w:szCs w:val="22"/>
          </w:rPr>
          <w:t>Visit</w:t>
        </w:r>
      </w:hyperlink>
      <w:r w:rsidRPr="005B165C">
        <w:rPr>
          <w:rFonts w:ascii="Calibri" w:hAnsi="Calibri" w:cs="Calibri"/>
          <w:sz w:val="22"/>
          <w:szCs w:val="22"/>
        </w:rPr>
        <w:t xml:space="preserve"> Lichfield and service specific websites including Southern Staff</w:t>
      </w:r>
      <w:r w:rsidR="005D6647">
        <w:rPr>
          <w:rFonts w:ascii="Calibri" w:hAnsi="Calibri" w:cs="Calibri"/>
          <w:sz w:val="22"/>
          <w:szCs w:val="22"/>
        </w:rPr>
        <w:t>ordshire</w:t>
      </w:r>
      <w:r w:rsidRPr="005B165C">
        <w:rPr>
          <w:rFonts w:ascii="Calibri" w:hAnsi="Calibri" w:cs="Calibri"/>
          <w:sz w:val="22"/>
          <w:szCs w:val="22"/>
        </w:rPr>
        <w:t xml:space="preserve"> Building Control. </w:t>
      </w:r>
    </w:p>
    <w:p w:rsidR="00253D21" w:rsidRDefault="00253D21" w:rsidP="00253D21">
      <w:pPr>
        <w:spacing w:before="120" w:after="120"/>
        <w:jc w:val="both"/>
        <w:rPr>
          <w:rFonts w:ascii="Calibri" w:hAnsi="Calibri" w:cs="Calibri"/>
          <w:sz w:val="22"/>
          <w:szCs w:val="22"/>
        </w:rPr>
      </w:pPr>
      <w:r w:rsidRPr="005B165C">
        <w:rPr>
          <w:rFonts w:ascii="Calibri" w:hAnsi="Calibri" w:cs="Calibri"/>
          <w:sz w:val="22"/>
          <w:szCs w:val="22"/>
        </w:rPr>
        <w:t xml:space="preserve">The Council’s Contact Centre is the first contact point for customers/citizens. The Centre is a significant component in the distribution of information to residents and visitors, and for capturing information from customers to inform service development. </w:t>
      </w:r>
    </w:p>
    <w:p w:rsidR="00215210" w:rsidRPr="00215210" w:rsidRDefault="00215210" w:rsidP="00215210">
      <w:pPr>
        <w:spacing w:before="120" w:after="120"/>
        <w:jc w:val="both"/>
        <w:rPr>
          <w:rFonts w:ascii="Calibri" w:hAnsi="Calibri" w:cs="Calibri"/>
          <w:sz w:val="22"/>
          <w:szCs w:val="22"/>
        </w:rPr>
      </w:pPr>
      <w:r w:rsidRPr="00215210">
        <w:rPr>
          <w:rFonts w:ascii="Calibri" w:hAnsi="Calibri" w:cs="Calibri"/>
          <w:sz w:val="22"/>
          <w:szCs w:val="22"/>
        </w:rPr>
        <w:t>The Council distributed its printed LDC News publication in November 2020 and in January 2021 launched a monthly e-news version</w:t>
      </w:r>
      <w:r w:rsidR="009D7DA2">
        <w:rPr>
          <w:rFonts w:ascii="Calibri" w:hAnsi="Calibri" w:cs="Calibri"/>
          <w:sz w:val="22"/>
          <w:szCs w:val="22"/>
        </w:rPr>
        <w:t>. It also</w:t>
      </w:r>
      <w:r w:rsidRPr="00215210">
        <w:rPr>
          <w:rFonts w:ascii="Calibri" w:hAnsi="Calibri" w:cs="Calibri"/>
          <w:sz w:val="22"/>
          <w:szCs w:val="22"/>
        </w:rPr>
        <w:t xml:space="preserve"> has several other </w:t>
      </w:r>
      <w:r w:rsidRPr="001D7290">
        <w:rPr>
          <w:rFonts w:ascii="Calibri" w:hAnsi="Calibri" w:cs="Calibri"/>
          <w:sz w:val="22"/>
          <w:szCs w:val="22"/>
        </w:rPr>
        <w:t>newsletter</w:t>
      </w:r>
      <w:r w:rsidR="00B65D1A" w:rsidRPr="001D7290">
        <w:rPr>
          <w:rFonts w:ascii="Calibri" w:hAnsi="Calibri" w:cs="Calibri"/>
          <w:sz w:val="22"/>
          <w:szCs w:val="22"/>
        </w:rPr>
        <w:t>s</w:t>
      </w:r>
      <w:r w:rsidRPr="001D7290">
        <w:rPr>
          <w:rFonts w:ascii="Calibri" w:hAnsi="Calibri" w:cs="Calibri"/>
          <w:sz w:val="22"/>
          <w:szCs w:val="22"/>
        </w:rPr>
        <w:t>, for</w:t>
      </w:r>
      <w:r w:rsidRPr="00215210">
        <w:rPr>
          <w:rFonts w:ascii="Calibri" w:hAnsi="Calibri" w:cs="Calibri"/>
          <w:sz w:val="22"/>
          <w:szCs w:val="22"/>
        </w:rPr>
        <w:t xml:space="preserve"> example, for the Historic Parks, available to communicate news to stakeholders.</w:t>
      </w:r>
    </w:p>
    <w:p w:rsidR="00253D21" w:rsidRPr="005B165C" w:rsidRDefault="009D7DA2" w:rsidP="00253D21">
      <w:pPr>
        <w:spacing w:before="120" w:after="120"/>
        <w:jc w:val="both"/>
        <w:rPr>
          <w:rFonts w:ascii="Calibri" w:hAnsi="Calibri" w:cs="Calibri"/>
          <w:sz w:val="22"/>
          <w:szCs w:val="22"/>
        </w:rPr>
      </w:pPr>
      <w:r>
        <w:rPr>
          <w:rFonts w:ascii="Calibri" w:hAnsi="Calibri" w:cs="Calibri"/>
          <w:sz w:val="22"/>
          <w:szCs w:val="22"/>
        </w:rPr>
        <w:t>With its commitment to being open and transparent the Council has</w:t>
      </w:r>
      <w:r w:rsidR="00253D21" w:rsidRPr="005B165C">
        <w:rPr>
          <w:rFonts w:ascii="Calibri" w:hAnsi="Calibri" w:cs="Calibri"/>
          <w:sz w:val="22"/>
          <w:szCs w:val="22"/>
        </w:rPr>
        <w:t xml:space="preserve"> increas</w:t>
      </w:r>
      <w:r>
        <w:rPr>
          <w:rFonts w:ascii="Calibri" w:hAnsi="Calibri" w:cs="Calibri"/>
          <w:sz w:val="22"/>
          <w:szCs w:val="22"/>
        </w:rPr>
        <w:t>ed</w:t>
      </w:r>
      <w:r w:rsidR="00253D21" w:rsidRPr="005B165C">
        <w:rPr>
          <w:rFonts w:ascii="Calibri" w:hAnsi="Calibri" w:cs="Calibri"/>
          <w:sz w:val="22"/>
          <w:szCs w:val="22"/>
        </w:rPr>
        <w:t xml:space="preserve"> the amount of data that </w:t>
      </w:r>
      <w:r>
        <w:rPr>
          <w:rFonts w:ascii="Calibri" w:hAnsi="Calibri" w:cs="Calibri"/>
          <w:sz w:val="22"/>
          <w:szCs w:val="22"/>
        </w:rPr>
        <w:t>is made</w:t>
      </w:r>
      <w:r w:rsidR="00253D21" w:rsidRPr="005B165C">
        <w:rPr>
          <w:rFonts w:ascii="Calibri" w:hAnsi="Calibri" w:cs="Calibri"/>
          <w:sz w:val="22"/>
          <w:szCs w:val="22"/>
        </w:rPr>
        <w:t xml:space="preserve"> available publicly so that residents are able to hold us to account better. This data has been published under the INSPIRE and Transparency regulations.</w:t>
      </w:r>
    </w:p>
    <w:p w:rsidR="00F46EB7" w:rsidRDefault="005B2357" w:rsidP="00253D21">
      <w:pPr>
        <w:spacing w:before="120" w:after="120"/>
        <w:jc w:val="both"/>
        <w:rPr>
          <w:rFonts w:ascii="Calibri" w:hAnsi="Calibri" w:cs="Calibri"/>
          <w:sz w:val="22"/>
          <w:szCs w:val="22"/>
        </w:rPr>
      </w:pPr>
      <w:r>
        <w:rPr>
          <w:rFonts w:ascii="Calibri" w:hAnsi="Calibri" w:cs="Calibri"/>
          <w:sz w:val="22"/>
          <w:szCs w:val="22"/>
        </w:rPr>
        <w:t>The Council</w:t>
      </w:r>
      <w:r w:rsidR="00253D21" w:rsidRPr="005B165C">
        <w:rPr>
          <w:rFonts w:ascii="Calibri" w:hAnsi="Calibri" w:cs="Calibri"/>
          <w:sz w:val="22"/>
          <w:szCs w:val="22"/>
        </w:rPr>
        <w:t xml:space="preserve"> use</w:t>
      </w:r>
      <w:r>
        <w:rPr>
          <w:rFonts w:ascii="Calibri" w:hAnsi="Calibri" w:cs="Calibri"/>
          <w:sz w:val="22"/>
          <w:szCs w:val="22"/>
        </w:rPr>
        <w:t>s</w:t>
      </w:r>
      <w:r w:rsidR="00253D21" w:rsidRPr="005B165C">
        <w:rPr>
          <w:rFonts w:ascii="Calibri" w:hAnsi="Calibri" w:cs="Calibri"/>
          <w:sz w:val="22"/>
          <w:szCs w:val="22"/>
        </w:rPr>
        <w:t xml:space="preserve"> the Government's </w:t>
      </w:r>
      <w:hyperlink r:id="rId14" w:history="1">
        <w:r w:rsidR="00253D21" w:rsidRPr="005B165C">
          <w:rPr>
            <w:rFonts w:ascii="Calibri" w:hAnsi="Calibri" w:cs="Calibri"/>
            <w:sz w:val="22"/>
            <w:szCs w:val="22"/>
          </w:rPr>
          <w:t>Code of Recommended Practice for Local Authorities on Data Transparency</w:t>
        </w:r>
      </w:hyperlink>
      <w:r w:rsidR="00253D21" w:rsidRPr="005B165C">
        <w:rPr>
          <w:rFonts w:ascii="Calibri" w:hAnsi="Calibri" w:cs="Calibri"/>
          <w:sz w:val="22"/>
          <w:szCs w:val="22"/>
        </w:rPr>
        <w:t>, which recommends the datasets councils should make available as a minimum, as a starting point for deciding what information we should make available</w:t>
      </w:r>
    </w:p>
    <w:p w:rsidR="00253D21" w:rsidRPr="005B165C" w:rsidRDefault="00253D21" w:rsidP="00253D21">
      <w:pPr>
        <w:spacing w:before="120" w:after="120"/>
        <w:jc w:val="both"/>
        <w:rPr>
          <w:rFonts w:ascii="Calibri" w:hAnsi="Calibri" w:cs="Calibri"/>
          <w:sz w:val="22"/>
          <w:szCs w:val="22"/>
        </w:rPr>
      </w:pPr>
      <w:r w:rsidRPr="005B165C">
        <w:rPr>
          <w:rFonts w:ascii="Calibri" w:hAnsi="Calibri" w:cs="Calibri"/>
          <w:sz w:val="22"/>
          <w:szCs w:val="22"/>
        </w:rPr>
        <w:t>We have also used feedback and </w:t>
      </w:r>
      <w:hyperlink r:id="rId15" w:history="1">
        <w:r w:rsidRPr="005B165C">
          <w:rPr>
            <w:rFonts w:ascii="Calibri" w:hAnsi="Calibri" w:cs="Calibri"/>
            <w:sz w:val="22"/>
            <w:szCs w:val="22"/>
          </w:rPr>
          <w:t>requests made under the Freedom of Information Act 2000</w:t>
        </w:r>
      </w:hyperlink>
      <w:r w:rsidRPr="005B165C">
        <w:rPr>
          <w:rFonts w:ascii="Calibri" w:hAnsi="Calibri" w:cs="Calibri"/>
          <w:sz w:val="22"/>
          <w:szCs w:val="22"/>
        </w:rPr>
        <w:t xml:space="preserve"> to identify additional datasets for publication. We will continue to increase the number of datasets that we make available over time, where resources and capacity permit and there is a clear public demand for the information. </w:t>
      </w:r>
    </w:p>
    <w:p w:rsidR="00253D21" w:rsidRPr="005B165C" w:rsidRDefault="00253D21" w:rsidP="00253D21">
      <w:pPr>
        <w:spacing w:before="120" w:after="120" w:line="259" w:lineRule="auto"/>
        <w:jc w:val="both"/>
        <w:rPr>
          <w:rFonts w:ascii="Calibri" w:hAnsi="Calibri" w:cs="Calibri"/>
          <w:sz w:val="22"/>
          <w:szCs w:val="22"/>
        </w:rPr>
      </w:pPr>
      <w:r w:rsidRPr="005B165C">
        <w:rPr>
          <w:rFonts w:ascii="Calibri" w:hAnsi="Calibri" w:cs="Calibri"/>
          <w:sz w:val="22"/>
          <w:szCs w:val="22"/>
        </w:rPr>
        <w:t>The Council has signed up to the local digital declaration, which provides us with access to national projects and support and will ensure that we:</w:t>
      </w:r>
    </w:p>
    <w:p w:rsidR="00253D21" w:rsidRPr="005B165C" w:rsidRDefault="00253D21" w:rsidP="00253D21">
      <w:pPr>
        <w:numPr>
          <w:ilvl w:val="0"/>
          <w:numId w:val="6"/>
        </w:numPr>
        <w:spacing w:after="160" w:line="259" w:lineRule="auto"/>
        <w:contextualSpacing/>
        <w:jc w:val="both"/>
        <w:rPr>
          <w:rFonts w:ascii="Calibri" w:hAnsi="Calibri" w:cs="Calibri"/>
          <w:sz w:val="22"/>
          <w:szCs w:val="22"/>
        </w:rPr>
      </w:pPr>
      <w:r w:rsidRPr="005B165C">
        <w:rPr>
          <w:rFonts w:ascii="Calibri" w:hAnsi="Calibri" w:cs="Calibri"/>
          <w:sz w:val="22"/>
          <w:szCs w:val="22"/>
        </w:rPr>
        <w:t>Design services that best meet the needs of citizens</w:t>
      </w:r>
    </w:p>
    <w:p w:rsidR="00253D21" w:rsidRPr="005B165C" w:rsidRDefault="00253D21" w:rsidP="00253D21">
      <w:pPr>
        <w:numPr>
          <w:ilvl w:val="0"/>
          <w:numId w:val="6"/>
        </w:numPr>
        <w:spacing w:after="160" w:line="259" w:lineRule="auto"/>
        <w:contextualSpacing/>
        <w:jc w:val="both"/>
        <w:rPr>
          <w:rFonts w:ascii="Calibri" w:hAnsi="Calibri" w:cs="Calibri"/>
          <w:sz w:val="22"/>
          <w:szCs w:val="22"/>
        </w:rPr>
      </w:pPr>
      <w:r w:rsidRPr="005B165C">
        <w:rPr>
          <w:rFonts w:ascii="Calibri" w:hAnsi="Calibri" w:cs="Calibri"/>
          <w:sz w:val="22"/>
          <w:szCs w:val="22"/>
        </w:rPr>
        <w:t>Challenge the technology market to offer the flexible tools and services we need</w:t>
      </w:r>
    </w:p>
    <w:p w:rsidR="00253D21" w:rsidRPr="005B165C" w:rsidRDefault="00253D21" w:rsidP="00253D21">
      <w:pPr>
        <w:numPr>
          <w:ilvl w:val="0"/>
          <w:numId w:val="6"/>
        </w:numPr>
        <w:spacing w:after="160" w:line="259" w:lineRule="auto"/>
        <w:contextualSpacing/>
        <w:jc w:val="both"/>
        <w:rPr>
          <w:rFonts w:ascii="Calibri" w:hAnsi="Calibri" w:cs="Calibri"/>
          <w:sz w:val="22"/>
          <w:szCs w:val="22"/>
        </w:rPr>
      </w:pPr>
      <w:r w:rsidRPr="005B165C">
        <w:rPr>
          <w:rFonts w:ascii="Calibri" w:hAnsi="Calibri" w:cs="Calibri"/>
          <w:sz w:val="22"/>
          <w:szCs w:val="22"/>
        </w:rPr>
        <w:t>Protect citizens’ privacy and security</w:t>
      </w:r>
    </w:p>
    <w:p w:rsidR="00253D21" w:rsidRPr="005B165C" w:rsidRDefault="00253D21" w:rsidP="00253D21">
      <w:pPr>
        <w:numPr>
          <w:ilvl w:val="0"/>
          <w:numId w:val="6"/>
        </w:numPr>
        <w:spacing w:after="160" w:line="259" w:lineRule="auto"/>
        <w:contextualSpacing/>
        <w:jc w:val="both"/>
        <w:rPr>
          <w:rFonts w:ascii="Calibri" w:hAnsi="Calibri" w:cs="Calibri"/>
          <w:sz w:val="22"/>
          <w:szCs w:val="22"/>
        </w:rPr>
      </w:pPr>
      <w:r w:rsidRPr="005B165C">
        <w:rPr>
          <w:rFonts w:ascii="Calibri" w:hAnsi="Calibri" w:cs="Calibri"/>
          <w:sz w:val="22"/>
          <w:szCs w:val="22"/>
        </w:rPr>
        <w:t>Deliver better value for money.</w:t>
      </w:r>
    </w:p>
    <w:p w:rsidR="00253D21" w:rsidRPr="007F5415" w:rsidRDefault="00253D21" w:rsidP="00253D21">
      <w:pPr>
        <w:spacing w:after="160" w:line="259" w:lineRule="auto"/>
        <w:ind w:left="720"/>
        <w:contextualSpacing/>
        <w:jc w:val="both"/>
        <w:rPr>
          <w:rFonts w:ascii="Calibri" w:hAnsi="Calibri" w:cs="Calibri"/>
          <w:sz w:val="22"/>
          <w:szCs w:val="22"/>
          <w:highlight w:val="yellow"/>
        </w:rPr>
      </w:pPr>
    </w:p>
    <w:p w:rsidR="00AB5EAD" w:rsidRDefault="00253D21" w:rsidP="00253D21">
      <w:pPr>
        <w:spacing w:before="120" w:after="120"/>
        <w:jc w:val="both"/>
        <w:rPr>
          <w:rFonts w:ascii="Calibri" w:hAnsi="Calibri" w:cs="Calibri"/>
          <w:sz w:val="22"/>
          <w:szCs w:val="22"/>
        </w:rPr>
      </w:pPr>
      <w:r w:rsidRPr="005B165C">
        <w:rPr>
          <w:rFonts w:ascii="Calibri" w:hAnsi="Calibri" w:cs="Calibri"/>
          <w:sz w:val="22"/>
          <w:szCs w:val="22"/>
        </w:rPr>
        <w:t xml:space="preserve">Data protection laws were strengthened in May 2018 with the introduction of the General Data Protection Regulations (GDPR) which replaced and built on the principles contained in the 1998 Data Protection Act. </w:t>
      </w:r>
    </w:p>
    <w:p w:rsidR="00253D21" w:rsidRPr="00194CE0" w:rsidRDefault="001E0393" w:rsidP="00253D21">
      <w:pPr>
        <w:spacing w:before="120" w:after="120"/>
        <w:jc w:val="both"/>
        <w:rPr>
          <w:rFonts w:ascii="Calibri" w:hAnsi="Calibri" w:cs="Calibri"/>
          <w:sz w:val="22"/>
          <w:szCs w:val="22"/>
        </w:rPr>
      </w:pPr>
      <w:r w:rsidRPr="00194CE0">
        <w:rPr>
          <w:rFonts w:ascii="Calibri" w:hAnsi="Calibri" w:cs="Calibri"/>
          <w:sz w:val="22"/>
          <w:szCs w:val="22"/>
        </w:rPr>
        <w:t>Following awareness being raised by the Audit and Member Standards Committee</w:t>
      </w:r>
      <w:r w:rsidR="00194CE0" w:rsidRPr="00194CE0">
        <w:rPr>
          <w:rFonts w:ascii="Calibri" w:hAnsi="Calibri" w:cs="Calibri"/>
          <w:sz w:val="22"/>
          <w:szCs w:val="22"/>
        </w:rPr>
        <w:t>,</w:t>
      </w:r>
      <w:r w:rsidRPr="00194CE0">
        <w:rPr>
          <w:rFonts w:ascii="Calibri" w:hAnsi="Calibri" w:cs="Calibri"/>
          <w:sz w:val="22"/>
          <w:szCs w:val="22"/>
        </w:rPr>
        <w:t xml:space="preserve"> particular focus was given to </w:t>
      </w:r>
      <w:r w:rsidR="00253D21" w:rsidRPr="00194CE0">
        <w:rPr>
          <w:rFonts w:ascii="Calibri" w:hAnsi="Calibri" w:cs="Calibri"/>
          <w:sz w:val="22"/>
          <w:szCs w:val="22"/>
        </w:rPr>
        <w:t>ensure that the Council complies with GDPR</w:t>
      </w:r>
      <w:r w:rsidRPr="00194CE0">
        <w:rPr>
          <w:rFonts w:ascii="Calibri" w:hAnsi="Calibri" w:cs="Calibri"/>
          <w:sz w:val="22"/>
          <w:szCs w:val="22"/>
        </w:rPr>
        <w:t>. V</w:t>
      </w:r>
      <w:r w:rsidR="00253D21" w:rsidRPr="00194CE0">
        <w:rPr>
          <w:rFonts w:ascii="Calibri" w:hAnsi="Calibri" w:cs="Calibri"/>
          <w:sz w:val="22"/>
          <w:szCs w:val="22"/>
        </w:rPr>
        <w:t xml:space="preserve">arious work streams have been completed </w:t>
      </w:r>
      <w:r w:rsidRPr="00194CE0">
        <w:rPr>
          <w:rFonts w:ascii="Calibri" w:hAnsi="Calibri" w:cs="Calibri"/>
          <w:sz w:val="22"/>
          <w:szCs w:val="22"/>
        </w:rPr>
        <w:lastRenderedPageBreak/>
        <w:t xml:space="preserve">by the ICT team </w:t>
      </w:r>
      <w:r w:rsidR="00253D21" w:rsidRPr="00194CE0">
        <w:rPr>
          <w:rFonts w:ascii="Calibri" w:hAnsi="Calibri" w:cs="Calibri"/>
          <w:sz w:val="22"/>
          <w:szCs w:val="22"/>
        </w:rPr>
        <w:t>including: reviewing and auditing current practice; checking consents and privacy notices; reviewing contractual terms with suppliers; meeting with all officers who process personal data</w:t>
      </w:r>
      <w:r w:rsidRPr="00194CE0">
        <w:rPr>
          <w:rFonts w:ascii="Calibri" w:hAnsi="Calibri" w:cs="Calibri"/>
          <w:sz w:val="22"/>
          <w:szCs w:val="22"/>
        </w:rPr>
        <w:t xml:space="preserve"> to undertake an information </w:t>
      </w:r>
      <w:r w:rsidR="00194CE0" w:rsidRPr="00194CE0">
        <w:rPr>
          <w:rFonts w:ascii="Calibri" w:hAnsi="Calibri" w:cs="Calibri"/>
          <w:sz w:val="22"/>
          <w:szCs w:val="22"/>
        </w:rPr>
        <w:t>a</w:t>
      </w:r>
      <w:r w:rsidRPr="00194CE0">
        <w:rPr>
          <w:rFonts w:ascii="Calibri" w:hAnsi="Calibri" w:cs="Calibri"/>
          <w:sz w:val="22"/>
          <w:szCs w:val="22"/>
        </w:rPr>
        <w:t>udit</w:t>
      </w:r>
      <w:r w:rsidR="00253D21" w:rsidRPr="00194CE0">
        <w:rPr>
          <w:rFonts w:ascii="Calibri" w:hAnsi="Calibri" w:cs="Calibri"/>
          <w:sz w:val="22"/>
          <w:szCs w:val="22"/>
        </w:rPr>
        <w:t>; creating a policy for GDPR; updating subject access requests procedures; training staff.</w:t>
      </w:r>
      <w:r w:rsidRPr="00194CE0">
        <w:rPr>
          <w:rFonts w:ascii="Calibri" w:hAnsi="Calibri" w:cs="Calibri"/>
          <w:sz w:val="22"/>
          <w:szCs w:val="22"/>
        </w:rPr>
        <w:t xml:space="preserve"> This has seen as success of the </w:t>
      </w:r>
      <w:r w:rsidR="00CA36D7" w:rsidRPr="00194CE0">
        <w:rPr>
          <w:rFonts w:ascii="Calibri" w:hAnsi="Calibri" w:cs="Calibri"/>
          <w:sz w:val="22"/>
          <w:szCs w:val="22"/>
        </w:rPr>
        <w:t>internal control mechanisms to support effective governance as the issue was identified, taken seriously and resolved as soon as was practicable.</w:t>
      </w:r>
      <w:r w:rsidRPr="00194CE0">
        <w:rPr>
          <w:rFonts w:ascii="Calibri" w:hAnsi="Calibri" w:cs="Calibri"/>
          <w:sz w:val="22"/>
          <w:szCs w:val="22"/>
        </w:rPr>
        <w:t xml:space="preserve"> </w:t>
      </w:r>
    </w:p>
    <w:p w:rsidR="00253D21" w:rsidRDefault="00253D21" w:rsidP="00253D21">
      <w:pPr>
        <w:spacing w:before="120" w:after="120"/>
        <w:jc w:val="both"/>
        <w:rPr>
          <w:rFonts w:ascii="Calibri" w:hAnsi="Calibri" w:cs="Calibri"/>
          <w:sz w:val="22"/>
          <w:szCs w:val="22"/>
        </w:rPr>
      </w:pPr>
      <w:r w:rsidRPr="00194CE0">
        <w:rPr>
          <w:rFonts w:ascii="Calibri" w:hAnsi="Calibri" w:cs="Calibri"/>
          <w:sz w:val="22"/>
          <w:szCs w:val="22"/>
        </w:rPr>
        <w:t xml:space="preserve">One of the requirements of GDPR is to appoint a Data Protection Officer (DPO). The role of the DPO is to oversee the Council’s compliance with GDPR and to provide advice in relation to the law.  The </w:t>
      </w:r>
      <w:r w:rsidR="005D4150" w:rsidRPr="00194CE0">
        <w:rPr>
          <w:rFonts w:ascii="Calibri" w:hAnsi="Calibri" w:cs="Calibri"/>
          <w:sz w:val="22"/>
          <w:szCs w:val="22"/>
        </w:rPr>
        <w:t>Governance Director</w:t>
      </w:r>
      <w:r w:rsidRPr="00194CE0">
        <w:rPr>
          <w:rFonts w:ascii="Calibri" w:hAnsi="Calibri" w:cs="Calibri"/>
          <w:sz w:val="22"/>
          <w:szCs w:val="22"/>
        </w:rPr>
        <w:t xml:space="preserve"> at South Staffordshire District Council acts as this Council’s DPO, working closely with Lichfield’s Head of</w:t>
      </w:r>
      <w:r w:rsidR="00480D0D" w:rsidRPr="00194CE0">
        <w:rPr>
          <w:rFonts w:ascii="Calibri" w:hAnsi="Calibri" w:cs="Calibri"/>
          <w:sz w:val="22"/>
          <w:szCs w:val="22"/>
        </w:rPr>
        <w:t xml:space="preserve"> Governance and Performance</w:t>
      </w:r>
      <w:r w:rsidR="005D4150" w:rsidRPr="00194CE0">
        <w:rPr>
          <w:rFonts w:ascii="Calibri" w:hAnsi="Calibri" w:cs="Calibri"/>
          <w:sz w:val="22"/>
          <w:szCs w:val="22"/>
        </w:rPr>
        <w:t>, who is the Council’s Senior Information Risk Owner (SIRO)</w:t>
      </w:r>
      <w:r w:rsidRPr="00194CE0">
        <w:rPr>
          <w:rFonts w:ascii="Calibri" w:hAnsi="Calibri" w:cs="Calibri"/>
          <w:sz w:val="22"/>
          <w:szCs w:val="22"/>
        </w:rPr>
        <w:t>.</w:t>
      </w:r>
      <w:r w:rsidRPr="005B165C">
        <w:rPr>
          <w:rFonts w:ascii="Calibri" w:hAnsi="Calibri" w:cs="Calibri"/>
          <w:sz w:val="22"/>
          <w:szCs w:val="22"/>
        </w:rPr>
        <w:t xml:space="preserve"> </w:t>
      </w:r>
    </w:p>
    <w:p w:rsidR="005B2357" w:rsidRDefault="00253D21" w:rsidP="00253D21">
      <w:pPr>
        <w:spacing w:before="120" w:after="120"/>
        <w:jc w:val="both"/>
        <w:rPr>
          <w:rFonts w:ascii="Calibri" w:hAnsi="Calibri" w:cs="Calibri"/>
          <w:sz w:val="22"/>
          <w:szCs w:val="22"/>
        </w:rPr>
      </w:pPr>
      <w:r w:rsidRPr="00FB6582">
        <w:rPr>
          <w:rFonts w:ascii="Calibri" w:hAnsi="Calibri" w:cs="Calibri"/>
          <w:sz w:val="22"/>
          <w:szCs w:val="22"/>
        </w:rPr>
        <w:t>The Council has a customer feedback scheme for the public to make complaints, comments and compliments, and constructive criticism which is used to improve services. The Complaints Charter provides guidance to staff on the Council’s complaints process. Members are provided with monitoring reports on a six monthly basis in addition to reports being presented annually to Audit and Member Standards Committee.</w:t>
      </w:r>
    </w:p>
    <w:p w:rsidR="00253D21" w:rsidRPr="00665AED" w:rsidRDefault="00253D21" w:rsidP="00253D21">
      <w:pPr>
        <w:spacing w:before="120" w:after="120"/>
        <w:jc w:val="both"/>
        <w:rPr>
          <w:rFonts w:ascii="Calibri" w:hAnsi="Calibri" w:cs="Calibri"/>
          <w:b/>
          <w:i/>
          <w:sz w:val="22"/>
          <w:szCs w:val="22"/>
        </w:rPr>
      </w:pPr>
      <w:r w:rsidRPr="00665AED">
        <w:rPr>
          <w:rFonts w:ascii="Calibri" w:hAnsi="Calibri" w:cs="Calibri"/>
          <w:sz w:val="22"/>
          <w:szCs w:val="22"/>
        </w:rPr>
        <w:t>The number of complaints and compliments for 20</w:t>
      </w:r>
      <w:r w:rsidR="009A0BFA" w:rsidRPr="00665AED">
        <w:rPr>
          <w:rFonts w:ascii="Calibri" w:hAnsi="Calibri" w:cs="Calibri"/>
          <w:sz w:val="22"/>
          <w:szCs w:val="22"/>
        </w:rPr>
        <w:t>20</w:t>
      </w:r>
      <w:r w:rsidRPr="00665AED">
        <w:rPr>
          <w:rFonts w:ascii="Calibri" w:hAnsi="Calibri" w:cs="Calibri"/>
          <w:sz w:val="22"/>
          <w:szCs w:val="22"/>
        </w:rPr>
        <w:t>/2</w:t>
      </w:r>
      <w:r w:rsidR="009A0BFA" w:rsidRPr="00665AED">
        <w:rPr>
          <w:rFonts w:ascii="Calibri" w:hAnsi="Calibri" w:cs="Calibri"/>
          <w:sz w:val="22"/>
          <w:szCs w:val="22"/>
        </w:rPr>
        <w:t>1</w:t>
      </w:r>
      <w:r w:rsidRPr="00665AED">
        <w:rPr>
          <w:rFonts w:ascii="Calibri" w:hAnsi="Calibri" w:cs="Calibri"/>
          <w:sz w:val="22"/>
          <w:szCs w:val="22"/>
        </w:rPr>
        <w:t xml:space="preserve"> compared with 201</w:t>
      </w:r>
      <w:r w:rsidR="009A0BFA" w:rsidRPr="00665AED">
        <w:rPr>
          <w:rFonts w:ascii="Calibri" w:hAnsi="Calibri" w:cs="Calibri"/>
          <w:sz w:val="22"/>
          <w:szCs w:val="22"/>
        </w:rPr>
        <w:t>9</w:t>
      </w:r>
      <w:r w:rsidRPr="00665AED">
        <w:rPr>
          <w:rFonts w:ascii="Calibri" w:hAnsi="Calibri" w:cs="Calibri"/>
          <w:sz w:val="22"/>
          <w:szCs w:val="22"/>
        </w:rPr>
        <w:t>/</w:t>
      </w:r>
      <w:r w:rsidR="009A0BFA" w:rsidRPr="00665AED">
        <w:rPr>
          <w:rFonts w:ascii="Calibri" w:hAnsi="Calibri" w:cs="Calibri"/>
          <w:sz w:val="22"/>
          <w:szCs w:val="22"/>
        </w:rPr>
        <w:t>20</w:t>
      </w:r>
      <w:r w:rsidRPr="00665AED">
        <w:rPr>
          <w:rFonts w:ascii="Calibri" w:hAnsi="Calibri" w:cs="Calibri"/>
          <w:sz w:val="22"/>
          <w:szCs w:val="22"/>
        </w:rPr>
        <w:t xml:space="preserve"> </w:t>
      </w:r>
      <w:r w:rsidR="00665AED" w:rsidRPr="00665AED">
        <w:rPr>
          <w:rFonts w:ascii="Calibri" w:hAnsi="Calibri" w:cs="Calibri"/>
          <w:sz w:val="22"/>
          <w:szCs w:val="22"/>
        </w:rPr>
        <w:t>are</w:t>
      </w:r>
      <w:r w:rsidRPr="00665AED">
        <w:rPr>
          <w:rFonts w:ascii="Calibri" w:hAnsi="Calibri" w:cs="Calibri"/>
          <w:sz w:val="22"/>
          <w:szCs w:val="22"/>
        </w:rPr>
        <w:t xml:space="preserve"> shown below:</w:t>
      </w:r>
    </w:p>
    <w:tbl>
      <w:tblPr>
        <w:tblStyle w:val="TableGrid1"/>
        <w:tblW w:w="0" w:type="auto"/>
        <w:tblLook w:val="04A0" w:firstRow="1" w:lastRow="0" w:firstColumn="1" w:lastColumn="0" w:noHBand="0" w:noVBand="1"/>
      </w:tblPr>
      <w:tblGrid>
        <w:gridCol w:w="4216"/>
        <w:gridCol w:w="1802"/>
        <w:gridCol w:w="1015"/>
        <w:gridCol w:w="1090"/>
        <w:gridCol w:w="876"/>
      </w:tblGrid>
      <w:tr w:rsidR="00253D21" w:rsidRPr="00665AED" w:rsidTr="003247EA">
        <w:tc>
          <w:tcPr>
            <w:tcW w:w="2886" w:type="dxa"/>
            <w:vMerge w:val="restart"/>
          </w:tcPr>
          <w:p w:rsidR="00253D21" w:rsidRPr="00665AED" w:rsidRDefault="002B0A9F" w:rsidP="003247EA">
            <w:pPr>
              <w:rPr>
                <w:rFonts w:ascii="Calibri" w:hAnsi="Calibri"/>
                <w:sz w:val="4"/>
                <w:szCs w:val="4"/>
              </w:rPr>
            </w:pPr>
            <w:r w:rsidRPr="00F8524C">
              <w:rPr>
                <w:rFonts w:ascii="Calibri" w:hAnsi="Calibri"/>
                <w:noProof/>
                <w:sz w:val="22"/>
                <w:szCs w:val="22"/>
                <w:lang w:eastAsia="en-GB"/>
              </w:rPr>
              <w:drawing>
                <wp:inline distT="0" distB="0" distL="0" distR="0" wp14:anchorId="1EB179FD" wp14:editId="19A1AFC3">
                  <wp:extent cx="2540000" cy="25336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62760" cy="2556353"/>
                          </a:xfrm>
                          <a:prstGeom prst="rect">
                            <a:avLst/>
                          </a:prstGeom>
                        </pic:spPr>
                      </pic:pic>
                    </a:graphicData>
                  </a:graphic>
                </wp:inline>
              </w:drawing>
            </w:r>
          </w:p>
        </w:tc>
        <w:tc>
          <w:tcPr>
            <w:tcW w:w="1802" w:type="dxa"/>
            <w:tcBorders>
              <w:bottom w:val="single" w:sz="4" w:space="0" w:color="auto"/>
            </w:tcBorders>
          </w:tcPr>
          <w:p w:rsidR="00253D21" w:rsidRPr="00665AED" w:rsidRDefault="00253D21" w:rsidP="003247EA">
            <w:pPr>
              <w:jc w:val="center"/>
              <w:rPr>
                <w:rFonts w:ascii="Calibri" w:hAnsi="Calibri"/>
                <w:b/>
                <w:sz w:val="22"/>
                <w:szCs w:val="22"/>
              </w:rPr>
            </w:pPr>
            <w:r w:rsidRPr="00665AED">
              <w:rPr>
                <w:rFonts w:ascii="Calibri" w:hAnsi="Calibri"/>
                <w:b/>
                <w:sz w:val="22"/>
                <w:szCs w:val="22"/>
              </w:rPr>
              <w:t>Area</w:t>
            </w:r>
          </w:p>
        </w:tc>
        <w:tc>
          <w:tcPr>
            <w:tcW w:w="1015" w:type="dxa"/>
            <w:tcBorders>
              <w:bottom w:val="single" w:sz="4" w:space="0" w:color="auto"/>
            </w:tcBorders>
            <w:shd w:val="clear" w:color="auto" w:fill="F7CAAC"/>
          </w:tcPr>
          <w:p w:rsidR="00253D21" w:rsidRPr="00665AED" w:rsidRDefault="00253D21" w:rsidP="009A0BFA">
            <w:pPr>
              <w:jc w:val="center"/>
              <w:rPr>
                <w:rFonts w:ascii="Calibri" w:hAnsi="Calibri"/>
                <w:b/>
                <w:sz w:val="22"/>
                <w:szCs w:val="22"/>
              </w:rPr>
            </w:pPr>
            <w:r w:rsidRPr="00665AED">
              <w:rPr>
                <w:rFonts w:ascii="Calibri" w:hAnsi="Calibri"/>
                <w:b/>
                <w:sz w:val="22"/>
                <w:szCs w:val="22"/>
              </w:rPr>
              <w:t>201</w:t>
            </w:r>
            <w:r w:rsidR="009A0BFA" w:rsidRPr="00665AED">
              <w:rPr>
                <w:rFonts w:ascii="Calibri" w:hAnsi="Calibri"/>
                <w:b/>
                <w:sz w:val="22"/>
                <w:szCs w:val="22"/>
              </w:rPr>
              <w:t>9</w:t>
            </w:r>
            <w:r w:rsidRPr="00665AED">
              <w:rPr>
                <w:rFonts w:ascii="Calibri" w:hAnsi="Calibri"/>
                <w:b/>
                <w:sz w:val="22"/>
                <w:szCs w:val="22"/>
              </w:rPr>
              <w:t>/</w:t>
            </w:r>
            <w:r w:rsidR="009A0BFA" w:rsidRPr="00665AED">
              <w:rPr>
                <w:rFonts w:ascii="Calibri" w:hAnsi="Calibri"/>
                <w:b/>
                <w:sz w:val="22"/>
                <w:szCs w:val="22"/>
              </w:rPr>
              <w:t>20</w:t>
            </w:r>
          </w:p>
        </w:tc>
        <w:tc>
          <w:tcPr>
            <w:tcW w:w="1090" w:type="dxa"/>
            <w:tcBorders>
              <w:bottom w:val="single" w:sz="4" w:space="0" w:color="auto"/>
            </w:tcBorders>
            <w:shd w:val="clear" w:color="auto" w:fill="C5E0B3"/>
          </w:tcPr>
          <w:p w:rsidR="00253D21" w:rsidRPr="00665AED" w:rsidRDefault="00253D21" w:rsidP="009A0BFA">
            <w:pPr>
              <w:jc w:val="center"/>
              <w:rPr>
                <w:rFonts w:ascii="Calibri" w:hAnsi="Calibri"/>
                <w:b/>
                <w:sz w:val="22"/>
                <w:szCs w:val="22"/>
              </w:rPr>
            </w:pPr>
            <w:r w:rsidRPr="00665AED">
              <w:rPr>
                <w:rFonts w:ascii="Calibri" w:hAnsi="Calibri"/>
                <w:b/>
                <w:sz w:val="22"/>
                <w:szCs w:val="22"/>
              </w:rPr>
              <w:t>20</w:t>
            </w:r>
            <w:r w:rsidR="009A0BFA" w:rsidRPr="00665AED">
              <w:rPr>
                <w:rFonts w:ascii="Calibri" w:hAnsi="Calibri"/>
                <w:b/>
                <w:sz w:val="22"/>
                <w:szCs w:val="22"/>
              </w:rPr>
              <w:t>20</w:t>
            </w:r>
            <w:r w:rsidRPr="00665AED">
              <w:rPr>
                <w:rFonts w:ascii="Calibri" w:hAnsi="Calibri"/>
                <w:b/>
                <w:sz w:val="22"/>
                <w:szCs w:val="22"/>
              </w:rPr>
              <w:t>/2</w:t>
            </w:r>
            <w:r w:rsidR="009A0BFA" w:rsidRPr="00665AED">
              <w:rPr>
                <w:rFonts w:ascii="Calibri" w:hAnsi="Calibri"/>
                <w:b/>
                <w:sz w:val="22"/>
                <w:szCs w:val="22"/>
              </w:rPr>
              <w:t>1</w:t>
            </w:r>
          </w:p>
        </w:tc>
        <w:tc>
          <w:tcPr>
            <w:tcW w:w="876" w:type="dxa"/>
            <w:tcBorders>
              <w:bottom w:val="single" w:sz="4" w:space="0" w:color="auto"/>
            </w:tcBorders>
          </w:tcPr>
          <w:p w:rsidR="00253D21" w:rsidRPr="00665AED" w:rsidRDefault="00253D21" w:rsidP="003247EA">
            <w:pPr>
              <w:jc w:val="center"/>
              <w:rPr>
                <w:rFonts w:ascii="Calibri" w:hAnsi="Calibri"/>
                <w:b/>
                <w:sz w:val="22"/>
                <w:szCs w:val="22"/>
              </w:rPr>
            </w:pPr>
            <w:r w:rsidRPr="00665AED">
              <w:rPr>
                <w:rFonts w:ascii="Calibri" w:hAnsi="Calibri"/>
                <w:b/>
                <w:sz w:val="22"/>
                <w:szCs w:val="22"/>
              </w:rPr>
              <w:t>Trend</w:t>
            </w:r>
          </w:p>
        </w:tc>
      </w:tr>
      <w:tr w:rsidR="00253D21" w:rsidRPr="00665AED" w:rsidTr="003247EA">
        <w:tc>
          <w:tcPr>
            <w:tcW w:w="2886" w:type="dxa"/>
            <w:vMerge/>
          </w:tcPr>
          <w:p w:rsidR="00253D21" w:rsidRPr="00665AED" w:rsidRDefault="00253D21" w:rsidP="003247EA">
            <w:pPr>
              <w:rPr>
                <w:rFonts w:ascii="Calibri" w:hAnsi="Calibri"/>
                <w:sz w:val="22"/>
                <w:szCs w:val="22"/>
              </w:rPr>
            </w:pPr>
          </w:p>
        </w:tc>
        <w:tc>
          <w:tcPr>
            <w:tcW w:w="1802" w:type="dxa"/>
            <w:tcBorders>
              <w:bottom w:val="single" w:sz="4" w:space="0" w:color="auto"/>
            </w:tcBorders>
            <w:vAlign w:val="center"/>
          </w:tcPr>
          <w:p w:rsidR="00253D21" w:rsidRPr="00665AED" w:rsidRDefault="00253D21" w:rsidP="003247EA">
            <w:pPr>
              <w:rPr>
                <w:rFonts w:ascii="Calibri" w:hAnsi="Calibri"/>
                <w:b/>
                <w:sz w:val="22"/>
                <w:szCs w:val="22"/>
              </w:rPr>
            </w:pPr>
            <w:r w:rsidRPr="00665AED">
              <w:rPr>
                <w:rFonts w:ascii="Calibri" w:hAnsi="Calibri"/>
                <w:b/>
                <w:sz w:val="22"/>
                <w:szCs w:val="22"/>
              </w:rPr>
              <w:t>Complaints</w:t>
            </w:r>
          </w:p>
        </w:tc>
        <w:tc>
          <w:tcPr>
            <w:tcW w:w="1015" w:type="dxa"/>
            <w:tcBorders>
              <w:bottom w:val="single" w:sz="4" w:space="0" w:color="auto"/>
            </w:tcBorders>
            <w:shd w:val="clear" w:color="auto" w:fill="F7CAAC"/>
            <w:vAlign w:val="center"/>
          </w:tcPr>
          <w:p w:rsidR="00253D21" w:rsidRPr="00665AED" w:rsidRDefault="009A0BFA" w:rsidP="003247EA">
            <w:pPr>
              <w:jc w:val="right"/>
              <w:rPr>
                <w:rFonts w:ascii="Calibri" w:hAnsi="Calibri"/>
                <w:b/>
                <w:sz w:val="22"/>
                <w:szCs w:val="22"/>
              </w:rPr>
            </w:pPr>
            <w:r w:rsidRPr="00665AED">
              <w:rPr>
                <w:rFonts w:ascii="Calibri" w:hAnsi="Calibri"/>
                <w:b/>
                <w:sz w:val="22"/>
                <w:szCs w:val="22"/>
              </w:rPr>
              <w:t>77</w:t>
            </w:r>
          </w:p>
        </w:tc>
        <w:tc>
          <w:tcPr>
            <w:tcW w:w="1090" w:type="dxa"/>
            <w:tcBorders>
              <w:bottom w:val="single" w:sz="4" w:space="0" w:color="auto"/>
            </w:tcBorders>
            <w:shd w:val="clear" w:color="auto" w:fill="C5E0B3"/>
            <w:vAlign w:val="center"/>
          </w:tcPr>
          <w:p w:rsidR="00253D21" w:rsidRPr="00665AED" w:rsidRDefault="00665AED" w:rsidP="003247EA">
            <w:pPr>
              <w:jc w:val="right"/>
              <w:rPr>
                <w:rFonts w:ascii="Calibri" w:hAnsi="Calibri"/>
                <w:b/>
                <w:sz w:val="22"/>
                <w:szCs w:val="22"/>
              </w:rPr>
            </w:pPr>
            <w:r w:rsidRPr="00665AED">
              <w:rPr>
                <w:rFonts w:ascii="Calibri" w:hAnsi="Calibri"/>
                <w:b/>
                <w:sz w:val="22"/>
                <w:szCs w:val="22"/>
              </w:rPr>
              <w:t>60</w:t>
            </w:r>
          </w:p>
        </w:tc>
        <w:tc>
          <w:tcPr>
            <w:tcW w:w="876" w:type="dxa"/>
            <w:tcBorders>
              <w:bottom w:val="single" w:sz="4" w:space="0" w:color="auto"/>
            </w:tcBorders>
          </w:tcPr>
          <w:p w:rsidR="00253D21" w:rsidRPr="00665AED" w:rsidRDefault="00253D21" w:rsidP="003247EA">
            <w:pPr>
              <w:jc w:val="center"/>
              <w:rPr>
                <w:rFonts w:ascii="Calibri" w:hAnsi="Calibri"/>
                <w:b/>
                <w:sz w:val="22"/>
                <w:szCs w:val="22"/>
              </w:rPr>
            </w:pPr>
            <w:r w:rsidRPr="00665AED">
              <w:rPr>
                <w:rFonts w:cs="Arial"/>
                <w:noProof/>
                <w:color w:val="FFFFFF"/>
                <w:sz w:val="20"/>
                <w:szCs w:val="20"/>
                <w:lang w:eastAsia="en-GB"/>
              </w:rPr>
              <w:drawing>
                <wp:inline distT="0" distB="0" distL="0" distR="0" wp14:anchorId="1A05C89D" wp14:editId="6AEDEFB2">
                  <wp:extent cx="409575" cy="371475"/>
                  <wp:effectExtent l="0" t="0" r="9525" b="9525"/>
                  <wp:docPr id="51" name="Picture 5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09575" cy="371475"/>
                          </a:xfrm>
                          <a:prstGeom prst="rect">
                            <a:avLst/>
                          </a:prstGeom>
                          <a:noFill/>
                          <a:ln>
                            <a:noFill/>
                          </a:ln>
                        </pic:spPr>
                      </pic:pic>
                    </a:graphicData>
                  </a:graphic>
                </wp:inline>
              </w:drawing>
            </w:r>
          </w:p>
        </w:tc>
      </w:tr>
      <w:tr w:rsidR="00253D21" w:rsidRPr="00665AED" w:rsidTr="003247EA">
        <w:tc>
          <w:tcPr>
            <w:tcW w:w="2886" w:type="dxa"/>
            <w:vMerge/>
          </w:tcPr>
          <w:p w:rsidR="00253D21" w:rsidRPr="00665AED" w:rsidRDefault="00253D21" w:rsidP="003247EA">
            <w:pPr>
              <w:rPr>
                <w:rFonts w:ascii="Calibri" w:hAnsi="Calibri"/>
                <w:sz w:val="22"/>
                <w:szCs w:val="22"/>
              </w:rPr>
            </w:pPr>
          </w:p>
        </w:tc>
        <w:tc>
          <w:tcPr>
            <w:tcW w:w="1802" w:type="dxa"/>
            <w:tcBorders>
              <w:top w:val="single" w:sz="4" w:space="0" w:color="auto"/>
              <w:bottom w:val="single" w:sz="4" w:space="0" w:color="auto"/>
            </w:tcBorders>
            <w:vAlign w:val="center"/>
          </w:tcPr>
          <w:p w:rsidR="00253D21" w:rsidRPr="001D7290" w:rsidRDefault="00253D21" w:rsidP="003247EA">
            <w:pPr>
              <w:rPr>
                <w:rFonts w:ascii="Calibri" w:hAnsi="Calibri"/>
                <w:i/>
                <w:sz w:val="22"/>
                <w:szCs w:val="22"/>
              </w:rPr>
            </w:pPr>
            <w:r w:rsidRPr="001D7290">
              <w:rPr>
                <w:rFonts w:ascii="Calibri" w:hAnsi="Calibri"/>
                <w:b/>
                <w:sz w:val="22"/>
                <w:szCs w:val="22"/>
              </w:rPr>
              <w:t>Compliments</w:t>
            </w:r>
          </w:p>
        </w:tc>
        <w:tc>
          <w:tcPr>
            <w:tcW w:w="1015" w:type="dxa"/>
            <w:tcBorders>
              <w:top w:val="single" w:sz="4" w:space="0" w:color="auto"/>
              <w:bottom w:val="single" w:sz="4" w:space="0" w:color="auto"/>
            </w:tcBorders>
            <w:shd w:val="clear" w:color="auto" w:fill="F7CAAC"/>
            <w:vAlign w:val="center"/>
          </w:tcPr>
          <w:p w:rsidR="00253D21" w:rsidRPr="00665AED" w:rsidRDefault="00253D21" w:rsidP="009A0BFA">
            <w:pPr>
              <w:jc w:val="right"/>
              <w:rPr>
                <w:rFonts w:ascii="Calibri" w:hAnsi="Calibri"/>
                <w:b/>
                <w:sz w:val="22"/>
                <w:szCs w:val="22"/>
              </w:rPr>
            </w:pPr>
            <w:r w:rsidRPr="00665AED">
              <w:rPr>
                <w:rFonts w:ascii="Calibri" w:hAnsi="Calibri"/>
                <w:b/>
                <w:sz w:val="22"/>
                <w:szCs w:val="22"/>
              </w:rPr>
              <w:t>1</w:t>
            </w:r>
            <w:r w:rsidR="009A0BFA" w:rsidRPr="00665AED">
              <w:rPr>
                <w:rFonts w:ascii="Calibri" w:hAnsi="Calibri"/>
                <w:b/>
                <w:sz w:val="22"/>
                <w:szCs w:val="22"/>
              </w:rPr>
              <w:t>13</w:t>
            </w:r>
          </w:p>
        </w:tc>
        <w:tc>
          <w:tcPr>
            <w:tcW w:w="1090" w:type="dxa"/>
            <w:tcBorders>
              <w:top w:val="single" w:sz="4" w:space="0" w:color="auto"/>
              <w:bottom w:val="single" w:sz="4" w:space="0" w:color="auto"/>
            </w:tcBorders>
            <w:shd w:val="clear" w:color="auto" w:fill="C5E0B3"/>
            <w:vAlign w:val="center"/>
          </w:tcPr>
          <w:p w:rsidR="00253D21" w:rsidRPr="00665AED" w:rsidRDefault="00665AED" w:rsidP="003247EA">
            <w:pPr>
              <w:jc w:val="right"/>
              <w:rPr>
                <w:rFonts w:ascii="Calibri" w:hAnsi="Calibri"/>
                <w:b/>
                <w:sz w:val="22"/>
                <w:szCs w:val="22"/>
              </w:rPr>
            </w:pPr>
            <w:r w:rsidRPr="00665AED">
              <w:rPr>
                <w:rFonts w:ascii="Calibri" w:hAnsi="Calibri"/>
                <w:b/>
                <w:sz w:val="22"/>
                <w:szCs w:val="22"/>
              </w:rPr>
              <w:t>152</w:t>
            </w:r>
          </w:p>
        </w:tc>
        <w:tc>
          <w:tcPr>
            <w:tcW w:w="876" w:type="dxa"/>
            <w:tcBorders>
              <w:top w:val="single" w:sz="4" w:space="0" w:color="auto"/>
              <w:bottom w:val="single" w:sz="4" w:space="0" w:color="auto"/>
            </w:tcBorders>
          </w:tcPr>
          <w:p w:rsidR="00253D21" w:rsidRPr="00665AED" w:rsidRDefault="00253D21" w:rsidP="003247EA">
            <w:pPr>
              <w:jc w:val="center"/>
              <w:rPr>
                <w:rFonts w:ascii="Calibri" w:hAnsi="Calibri"/>
                <w:sz w:val="22"/>
                <w:szCs w:val="22"/>
              </w:rPr>
            </w:pPr>
            <w:r w:rsidRPr="00665AED">
              <w:rPr>
                <w:rFonts w:cs="Arial"/>
                <w:noProof/>
                <w:color w:val="FFFFFF"/>
                <w:sz w:val="20"/>
                <w:szCs w:val="20"/>
                <w:lang w:eastAsia="en-GB"/>
              </w:rPr>
              <w:drawing>
                <wp:inline distT="0" distB="0" distL="0" distR="0" wp14:anchorId="45117680" wp14:editId="49FBE9A3">
                  <wp:extent cx="409575" cy="371475"/>
                  <wp:effectExtent l="0" t="0" r="9525" b="9525"/>
                  <wp:docPr id="52" name="Picture 5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409575" cy="371475"/>
                          </a:xfrm>
                          <a:prstGeom prst="rect">
                            <a:avLst/>
                          </a:prstGeom>
                          <a:noFill/>
                          <a:ln>
                            <a:noFill/>
                          </a:ln>
                        </pic:spPr>
                      </pic:pic>
                    </a:graphicData>
                  </a:graphic>
                </wp:inline>
              </w:drawing>
            </w:r>
          </w:p>
        </w:tc>
      </w:tr>
      <w:tr w:rsidR="00253D21" w:rsidRPr="00665AED" w:rsidTr="003247EA">
        <w:tc>
          <w:tcPr>
            <w:tcW w:w="2886" w:type="dxa"/>
            <w:vMerge/>
            <w:tcBorders>
              <w:right w:val="nil"/>
            </w:tcBorders>
          </w:tcPr>
          <w:p w:rsidR="00253D21" w:rsidRPr="00665AED" w:rsidRDefault="00253D21" w:rsidP="003247EA">
            <w:pPr>
              <w:rPr>
                <w:rFonts w:ascii="Calibri" w:hAnsi="Calibri"/>
                <w:sz w:val="22"/>
                <w:szCs w:val="22"/>
              </w:rPr>
            </w:pPr>
          </w:p>
        </w:tc>
        <w:tc>
          <w:tcPr>
            <w:tcW w:w="1802" w:type="dxa"/>
            <w:tcBorders>
              <w:top w:val="single" w:sz="4" w:space="0" w:color="auto"/>
              <w:left w:val="nil"/>
              <w:bottom w:val="single" w:sz="4" w:space="0" w:color="auto"/>
              <w:right w:val="nil"/>
            </w:tcBorders>
            <w:vAlign w:val="center"/>
          </w:tcPr>
          <w:p w:rsidR="00253D21" w:rsidRPr="00665AED" w:rsidRDefault="00253D21" w:rsidP="003247EA">
            <w:pPr>
              <w:rPr>
                <w:rFonts w:ascii="Calibri" w:hAnsi="Calibri"/>
                <w:i/>
                <w:sz w:val="22"/>
                <w:szCs w:val="22"/>
              </w:rPr>
            </w:pPr>
          </w:p>
        </w:tc>
        <w:tc>
          <w:tcPr>
            <w:tcW w:w="1015" w:type="dxa"/>
            <w:tcBorders>
              <w:top w:val="single" w:sz="4" w:space="0" w:color="auto"/>
              <w:left w:val="nil"/>
              <w:bottom w:val="single" w:sz="4" w:space="0" w:color="auto"/>
              <w:right w:val="nil"/>
            </w:tcBorders>
            <w:shd w:val="clear" w:color="auto" w:fill="auto"/>
            <w:vAlign w:val="center"/>
          </w:tcPr>
          <w:p w:rsidR="00253D21" w:rsidRPr="00665AED" w:rsidRDefault="00253D21" w:rsidP="003247EA">
            <w:pPr>
              <w:jc w:val="right"/>
              <w:rPr>
                <w:rFonts w:ascii="Calibri" w:hAnsi="Calibri"/>
                <w:i/>
                <w:sz w:val="22"/>
                <w:szCs w:val="22"/>
              </w:rPr>
            </w:pPr>
          </w:p>
        </w:tc>
        <w:tc>
          <w:tcPr>
            <w:tcW w:w="1090" w:type="dxa"/>
            <w:tcBorders>
              <w:top w:val="single" w:sz="4" w:space="0" w:color="auto"/>
              <w:left w:val="nil"/>
              <w:bottom w:val="single" w:sz="4" w:space="0" w:color="auto"/>
              <w:right w:val="nil"/>
            </w:tcBorders>
            <w:shd w:val="clear" w:color="auto" w:fill="auto"/>
            <w:vAlign w:val="center"/>
          </w:tcPr>
          <w:p w:rsidR="00253D21" w:rsidRPr="00665AED" w:rsidRDefault="00253D21" w:rsidP="003247EA">
            <w:pPr>
              <w:jc w:val="right"/>
              <w:rPr>
                <w:rFonts w:ascii="Calibri" w:hAnsi="Calibri"/>
                <w:i/>
                <w:sz w:val="22"/>
                <w:szCs w:val="22"/>
              </w:rPr>
            </w:pPr>
          </w:p>
        </w:tc>
        <w:tc>
          <w:tcPr>
            <w:tcW w:w="876" w:type="dxa"/>
            <w:tcBorders>
              <w:top w:val="single" w:sz="4" w:space="0" w:color="auto"/>
              <w:left w:val="nil"/>
              <w:bottom w:val="single" w:sz="4" w:space="0" w:color="auto"/>
              <w:right w:val="nil"/>
            </w:tcBorders>
            <w:shd w:val="clear" w:color="auto" w:fill="auto"/>
          </w:tcPr>
          <w:p w:rsidR="00253D21" w:rsidRPr="00665AED" w:rsidRDefault="00253D21" w:rsidP="003247EA">
            <w:pPr>
              <w:jc w:val="center"/>
              <w:rPr>
                <w:rFonts w:cs="Arial"/>
                <w:noProof/>
                <w:color w:val="FFFFFF"/>
                <w:sz w:val="20"/>
                <w:szCs w:val="20"/>
                <w:lang w:eastAsia="en-GB"/>
              </w:rPr>
            </w:pPr>
          </w:p>
        </w:tc>
      </w:tr>
      <w:tr w:rsidR="00253D21" w:rsidRPr="00665AED" w:rsidTr="003247EA">
        <w:tc>
          <w:tcPr>
            <w:tcW w:w="2886" w:type="dxa"/>
            <w:vMerge/>
          </w:tcPr>
          <w:p w:rsidR="00253D21" w:rsidRPr="00665AED" w:rsidRDefault="00253D21" w:rsidP="003247EA">
            <w:pPr>
              <w:rPr>
                <w:rFonts w:ascii="Calibri" w:hAnsi="Calibri"/>
                <w:sz w:val="22"/>
                <w:szCs w:val="22"/>
              </w:rPr>
            </w:pPr>
          </w:p>
        </w:tc>
        <w:tc>
          <w:tcPr>
            <w:tcW w:w="1802" w:type="dxa"/>
            <w:tcBorders>
              <w:top w:val="single" w:sz="4" w:space="0" w:color="auto"/>
              <w:bottom w:val="single" w:sz="4" w:space="0" w:color="auto"/>
            </w:tcBorders>
            <w:vAlign w:val="center"/>
          </w:tcPr>
          <w:p w:rsidR="00253D21" w:rsidRPr="00665AED" w:rsidRDefault="00253D21" w:rsidP="003247EA">
            <w:pPr>
              <w:rPr>
                <w:rFonts w:ascii="Calibri" w:hAnsi="Calibri"/>
                <w:b/>
                <w:sz w:val="22"/>
                <w:szCs w:val="22"/>
              </w:rPr>
            </w:pPr>
            <w:r w:rsidRPr="00665AED">
              <w:rPr>
                <w:rFonts w:ascii="Calibri" w:hAnsi="Calibri"/>
                <w:b/>
                <w:sz w:val="22"/>
                <w:szCs w:val="22"/>
              </w:rPr>
              <w:t>Ombudsman Complaints</w:t>
            </w:r>
          </w:p>
        </w:tc>
        <w:tc>
          <w:tcPr>
            <w:tcW w:w="1015" w:type="dxa"/>
            <w:tcBorders>
              <w:top w:val="single" w:sz="4" w:space="0" w:color="auto"/>
              <w:bottom w:val="single" w:sz="4" w:space="0" w:color="auto"/>
            </w:tcBorders>
            <w:shd w:val="clear" w:color="auto" w:fill="F7CAAC"/>
            <w:vAlign w:val="center"/>
          </w:tcPr>
          <w:p w:rsidR="00253D21" w:rsidRPr="00665AED" w:rsidRDefault="00D45FCF" w:rsidP="003247EA">
            <w:pPr>
              <w:jc w:val="right"/>
              <w:rPr>
                <w:rFonts w:ascii="Calibri" w:hAnsi="Calibri"/>
                <w:b/>
                <w:sz w:val="22"/>
                <w:szCs w:val="22"/>
              </w:rPr>
            </w:pPr>
            <w:r w:rsidRPr="00665AED">
              <w:rPr>
                <w:rFonts w:ascii="Calibri" w:hAnsi="Calibri"/>
                <w:b/>
                <w:sz w:val="22"/>
                <w:szCs w:val="22"/>
              </w:rPr>
              <w:t>5</w:t>
            </w:r>
          </w:p>
        </w:tc>
        <w:tc>
          <w:tcPr>
            <w:tcW w:w="1090" w:type="dxa"/>
            <w:tcBorders>
              <w:top w:val="single" w:sz="4" w:space="0" w:color="auto"/>
              <w:bottom w:val="single" w:sz="4" w:space="0" w:color="auto"/>
            </w:tcBorders>
            <w:shd w:val="clear" w:color="auto" w:fill="C5E0B3"/>
            <w:vAlign w:val="center"/>
          </w:tcPr>
          <w:p w:rsidR="00253D21" w:rsidRPr="00665AED" w:rsidRDefault="00D45FCF" w:rsidP="003247EA">
            <w:pPr>
              <w:jc w:val="right"/>
              <w:rPr>
                <w:rFonts w:ascii="Calibri" w:hAnsi="Calibri"/>
                <w:b/>
                <w:sz w:val="22"/>
                <w:szCs w:val="22"/>
              </w:rPr>
            </w:pPr>
            <w:r w:rsidRPr="00665AED">
              <w:rPr>
                <w:rFonts w:ascii="Calibri" w:hAnsi="Calibri"/>
                <w:b/>
                <w:sz w:val="22"/>
                <w:szCs w:val="22"/>
              </w:rPr>
              <w:t>4</w:t>
            </w:r>
          </w:p>
        </w:tc>
        <w:tc>
          <w:tcPr>
            <w:tcW w:w="876" w:type="dxa"/>
            <w:tcBorders>
              <w:top w:val="single" w:sz="4" w:space="0" w:color="auto"/>
              <w:bottom w:val="single" w:sz="4" w:space="0" w:color="auto"/>
            </w:tcBorders>
          </w:tcPr>
          <w:p w:rsidR="00253D21" w:rsidRPr="00665AED" w:rsidRDefault="00643495" w:rsidP="003247EA">
            <w:pPr>
              <w:jc w:val="center"/>
              <w:rPr>
                <w:rFonts w:ascii="Calibri" w:hAnsi="Calibri"/>
                <w:sz w:val="22"/>
                <w:szCs w:val="22"/>
              </w:rPr>
            </w:pPr>
            <w:r w:rsidRPr="00665AED">
              <w:rPr>
                <w:rFonts w:cs="Arial"/>
                <w:noProof/>
                <w:color w:val="FFFFFF"/>
                <w:sz w:val="20"/>
                <w:szCs w:val="20"/>
                <w:lang w:eastAsia="en-GB"/>
              </w:rPr>
              <w:drawing>
                <wp:inline distT="0" distB="0" distL="0" distR="0" wp14:anchorId="10169B82" wp14:editId="4E587AC8">
                  <wp:extent cx="409575" cy="371475"/>
                  <wp:effectExtent l="0" t="0" r="9525" b="9525"/>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09575" cy="371475"/>
                          </a:xfrm>
                          <a:prstGeom prst="rect">
                            <a:avLst/>
                          </a:prstGeom>
                          <a:noFill/>
                          <a:ln>
                            <a:noFill/>
                          </a:ln>
                        </pic:spPr>
                      </pic:pic>
                    </a:graphicData>
                  </a:graphic>
                </wp:inline>
              </w:drawing>
            </w:r>
          </w:p>
        </w:tc>
      </w:tr>
      <w:tr w:rsidR="00253D21" w:rsidRPr="007F5415" w:rsidTr="00643495">
        <w:tc>
          <w:tcPr>
            <w:tcW w:w="2886" w:type="dxa"/>
            <w:vMerge/>
            <w:tcBorders>
              <w:right w:val="single" w:sz="4" w:space="0" w:color="auto"/>
            </w:tcBorders>
          </w:tcPr>
          <w:p w:rsidR="00253D21" w:rsidRPr="00665AED" w:rsidRDefault="00253D21" w:rsidP="003247EA">
            <w:pPr>
              <w:rPr>
                <w:rFonts w:ascii="Calibri" w:hAnsi="Calibri"/>
                <w:sz w:val="22"/>
                <w:szCs w:val="22"/>
              </w:rPr>
            </w:pPr>
          </w:p>
        </w:tc>
        <w:tc>
          <w:tcPr>
            <w:tcW w:w="1802" w:type="dxa"/>
            <w:tcBorders>
              <w:top w:val="single" w:sz="4" w:space="0" w:color="auto"/>
              <w:left w:val="single" w:sz="4" w:space="0" w:color="auto"/>
              <w:bottom w:val="single" w:sz="4" w:space="0" w:color="auto"/>
              <w:right w:val="single" w:sz="4" w:space="0" w:color="auto"/>
            </w:tcBorders>
            <w:vAlign w:val="center"/>
          </w:tcPr>
          <w:p w:rsidR="00253D21" w:rsidRPr="00665AED" w:rsidRDefault="00253D21" w:rsidP="003247EA">
            <w:pPr>
              <w:rPr>
                <w:rFonts w:ascii="Calibri" w:hAnsi="Calibri"/>
                <w:b/>
                <w:sz w:val="22"/>
                <w:szCs w:val="22"/>
              </w:rPr>
            </w:pPr>
            <w:r w:rsidRPr="00665AED">
              <w:rPr>
                <w:rFonts w:ascii="Calibri" w:hAnsi="Calibri"/>
                <w:b/>
                <w:sz w:val="22"/>
                <w:szCs w:val="22"/>
              </w:rPr>
              <w:t>Ombudsman Complaints Upheld</w:t>
            </w:r>
          </w:p>
        </w:tc>
        <w:tc>
          <w:tcPr>
            <w:tcW w:w="101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253D21" w:rsidRPr="00665AED" w:rsidRDefault="00253D21" w:rsidP="003247EA">
            <w:pPr>
              <w:jc w:val="right"/>
              <w:rPr>
                <w:rFonts w:ascii="Calibri" w:hAnsi="Calibri"/>
                <w:b/>
                <w:sz w:val="22"/>
                <w:szCs w:val="22"/>
              </w:rPr>
            </w:pPr>
            <w:r w:rsidRPr="00665AED">
              <w:rPr>
                <w:rFonts w:ascii="Calibri" w:hAnsi="Calibri"/>
                <w:b/>
                <w:sz w:val="22"/>
                <w:szCs w:val="22"/>
              </w:rPr>
              <w:t>1</w:t>
            </w:r>
          </w:p>
        </w:tc>
        <w:tc>
          <w:tcPr>
            <w:tcW w:w="109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53D21" w:rsidRPr="00665AED" w:rsidRDefault="00643495" w:rsidP="003247EA">
            <w:pPr>
              <w:jc w:val="right"/>
              <w:rPr>
                <w:rFonts w:ascii="Calibri" w:hAnsi="Calibri"/>
                <w:b/>
                <w:sz w:val="22"/>
                <w:szCs w:val="22"/>
              </w:rPr>
            </w:pPr>
            <w:r w:rsidRPr="00665AED">
              <w:rPr>
                <w:rFonts w:ascii="Calibri" w:hAnsi="Calibri"/>
                <w:b/>
                <w:sz w:val="22"/>
                <w:szCs w:val="22"/>
              </w:rPr>
              <w:t>0</w:t>
            </w:r>
          </w:p>
        </w:tc>
        <w:tc>
          <w:tcPr>
            <w:tcW w:w="876" w:type="dxa"/>
            <w:tcBorders>
              <w:top w:val="single" w:sz="4" w:space="0" w:color="auto"/>
              <w:left w:val="single" w:sz="4" w:space="0" w:color="auto"/>
              <w:bottom w:val="single" w:sz="4" w:space="0" w:color="auto"/>
              <w:right w:val="single" w:sz="4" w:space="0" w:color="auto"/>
            </w:tcBorders>
          </w:tcPr>
          <w:p w:rsidR="00253D21" w:rsidRPr="00665AED" w:rsidRDefault="00643495" w:rsidP="003247EA">
            <w:pPr>
              <w:jc w:val="center"/>
              <w:rPr>
                <w:rFonts w:ascii="Calibri" w:hAnsi="Calibri"/>
                <w:sz w:val="22"/>
                <w:szCs w:val="22"/>
              </w:rPr>
            </w:pPr>
            <w:r w:rsidRPr="00665AED">
              <w:rPr>
                <w:rFonts w:cs="Arial"/>
                <w:noProof/>
                <w:color w:val="FFFFFF"/>
                <w:sz w:val="20"/>
                <w:szCs w:val="20"/>
                <w:lang w:eastAsia="en-GB"/>
              </w:rPr>
              <w:drawing>
                <wp:inline distT="0" distB="0" distL="0" distR="0" wp14:anchorId="0AD81836" wp14:editId="1F258B43">
                  <wp:extent cx="409575" cy="371475"/>
                  <wp:effectExtent l="0" t="0" r="9525" b="952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09575" cy="371475"/>
                          </a:xfrm>
                          <a:prstGeom prst="rect">
                            <a:avLst/>
                          </a:prstGeom>
                          <a:noFill/>
                          <a:ln>
                            <a:noFill/>
                          </a:ln>
                        </pic:spPr>
                      </pic:pic>
                    </a:graphicData>
                  </a:graphic>
                </wp:inline>
              </w:drawing>
            </w:r>
          </w:p>
        </w:tc>
      </w:tr>
      <w:tr w:rsidR="00253D21" w:rsidRPr="007F5415" w:rsidTr="003247EA">
        <w:tc>
          <w:tcPr>
            <w:tcW w:w="2886" w:type="dxa"/>
            <w:vMerge/>
            <w:tcBorders>
              <w:right w:val="nil"/>
            </w:tcBorders>
          </w:tcPr>
          <w:p w:rsidR="00253D21" w:rsidRPr="007F5415" w:rsidRDefault="00253D21" w:rsidP="003247EA">
            <w:pPr>
              <w:rPr>
                <w:rFonts w:ascii="Calibri" w:hAnsi="Calibri"/>
                <w:sz w:val="22"/>
                <w:szCs w:val="22"/>
                <w:highlight w:val="yellow"/>
              </w:rPr>
            </w:pPr>
          </w:p>
        </w:tc>
        <w:tc>
          <w:tcPr>
            <w:tcW w:w="1802" w:type="dxa"/>
            <w:tcBorders>
              <w:top w:val="single" w:sz="4" w:space="0" w:color="auto"/>
              <w:left w:val="nil"/>
              <w:bottom w:val="single" w:sz="4" w:space="0" w:color="auto"/>
              <w:right w:val="nil"/>
            </w:tcBorders>
            <w:vAlign w:val="center"/>
          </w:tcPr>
          <w:p w:rsidR="00253D21" w:rsidRPr="009A0BFA" w:rsidRDefault="00253D21" w:rsidP="003247EA">
            <w:pPr>
              <w:rPr>
                <w:rFonts w:ascii="Calibri" w:hAnsi="Calibri"/>
                <w:b/>
                <w:sz w:val="22"/>
                <w:szCs w:val="22"/>
              </w:rPr>
            </w:pPr>
          </w:p>
        </w:tc>
        <w:tc>
          <w:tcPr>
            <w:tcW w:w="1015" w:type="dxa"/>
            <w:tcBorders>
              <w:top w:val="single" w:sz="4" w:space="0" w:color="auto"/>
              <w:left w:val="nil"/>
              <w:bottom w:val="single" w:sz="4" w:space="0" w:color="auto"/>
              <w:right w:val="nil"/>
            </w:tcBorders>
            <w:shd w:val="clear" w:color="auto" w:fill="auto"/>
            <w:vAlign w:val="center"/>
          </w:tcPr>
          <w:p w:rsidR="00253D21" w:rsidRPr="009A0BFA" w:rsidRDefault="00253D21" w:rsidP="003247EA">
            <w:pPr>
              <w:jc w:val="right"/>
              <w:rPr>
                <w:rFonts w:ascii="Calibri" w:hAnsi="Calibri"/>
                <w:b/>
                <w:sz w:val="22"/>
                <w:szCs w:val="22"/>
              </w:rPr>
            </w:pPr>
          </w:p>
        </w:tc>
        <w:tc>
          <w:tcPr>
            <w:tcW w:w="1090" w:type="dxa"/>
            <w:tcBorders>
              <w:top w:val="single" w:sz="4" w:space="0" w:color="auto"/>
              <w:left w:val="nil"/>
              <w:bottom w:val="single" w:sz="4" w:space="0" w:color="auto"/>
              <w:right w:val="nil"/>
            </w:tcBorders>
            <w:shd w:val="clear" w:color="auto" w:fill="auto"/>
            <w:vAlign w:val="center"/>
          </w:tcPr>
          <w:p w:rsidR="00253D21" w:rsidRPr="007F5415" w:rsidRDefault="00253D21" w:rsidP="003247EA">
            <w:pPr>
              <w:jc w:val="right"/>
              <w:rPr>
                <w:rFonts w:ascii="Calibri" w:hAnsi="Calibri"/>
                <w:b/>
                <w:sz w:val="22"/>
                <w:szCs w:val="22"/>
                <w:highlight w:val="yellow"/>
              </w:rPr>
            </w:pPr>
          </w:p>
        </w:tc>
        <w:tc>
          <w:tcPr>
            <w:tcW w:w="876" w:type="dxa"/>
            <w:tcBorders>
              <w:top w:val="single" w:sz="4" w:space="0" w:color="auto"/>
              <w:left w:val="nil"/>
              <w:bottom w:val="single" w:sz="4" w:space="0" w:color="auto"/>
              <w:right w:val="nil"/>
            </w:tcBorders>
          </w:tcPr>
          <w:p w:rsidR="00253D21" w:rsidRPr="007F5415" w:rsidRDefault="00253D21" w:rsidP="003247EA">
            <w:pPr>
              <w:jc w:val="center"/>
              <w:rPr>
                <w:rFonts w:cs="Arial"/>
                <w:noProof/>
                <w:color w:val="FFFFFF"/>
                <w:sz w:val="20"/>
                <w:szCs w:val="20"/>
                <w:highlight w:val="yellow"/>
                <w:lang w:eastAsia="en-GB"/>
              </w:rPr>
            </w:pPr>
          </w:p>
        </w:tc>
      </w:tr>
      <w:tr w:rsidR="00253D21" w:rsidRPr="007F5415" w:rsidTr="003247EA">
        <w:tc>
          <w:tcPr>
            <w:tcW w:w="2886" w:type="dxa"/>
            <w:vMerge/>
          </w:tcPr>
          <w:p w:rsidR="00253D21" w:rsidRPr="007F5415" w:rsidRDefault="00253D21" w:rsidP="003247EA">
            <w:pPr>
              <w:rPr>
                <w:rFonts w:ascii="Calibri" w:hAnsi="Calibri"/>
                <w:sz w:val="22"/>
                <w:szCs w:val="22"/>
                <w:highlight w:val="yellow"/>
              </w:rPr>
            </w:pPr>
          </w:p>
        </w:tc>
        <w:tc>
          <w:tcPr>
            <w:tcW w:w="1802" w:type="dxa"/>
            <w:tcBorders>
              <w:top w:val="single" w:sz="4" w:space="0" w:color="auto"/>
            </w:tcBorders>
            <w:vAlign w:val="center"/>
          </w:tcPr>
          <w:p w:rsidR="00253D21" w:rsidRPr="009A0BFA" w:rsidRDefault="00253D21" w:rsidP="003247EA">
            <w:pPr>
              <w:rPr>
                <w:rFonts w:ascii="Calibri" w:hAnsi="Calibri"/>
                <w:b/>
                <w:sz w:val="22"/>
                <w:szCs w:val="22"/>
              </w:rPr>
            </w:pPr>
            <w:r w:rsidRPr="009A0BFA">
              <w:rPr>
                <w:rFonts w:ascii="Calibri" w:hAnsi="Calibri"/>
                <w:b/>
                <w:sz w:val="22"/>
                <w:szCs w:val="22"/>
              </w:rPr>
              <w:t>Whistleblowing Reports</w:t>
            </w:r>
          </w:p>
        </w:tc>
        <w:tc>
          <w:tcPr>
            <w:tcW w:w="1015" w:type="dxa"/>
            <w:tcBorders>
              <w:top w:val="single" w:sz="4" w:space="0" w:color="auto"/>
            </w:tcBorders>
            <w:shd w:val="clear" w:color="auto" w:fill="F7CAAC"/>
            <w:vAlign w:val="center"/>
          </w:tcPr>
          <w:p w:rsidR="00253D21" w:rsidRPr="009A0BFA" w:rsidRDefault="00253D21" w:rsidP="003247EA">
            <w:pPr>
              <w:jc w:val="right"/>
              <w:rPr>
                <w:rFonts w:ascii="Calibri" w:hAnsi="Calibri"/>
                <w:b/>
                <w:sz w:val="22"/>
                <w:szCs w:val="22"/>
              </w:rPr>
            </w:pPr>
            <w:r w:rsidRPr="009A0BFA">
              <w:rPr>
                <w:rFonts w:ascii="Calibri" w:hAnsi="Calibri"/>
                <w:b/>
                <w:sz w:val="22"/>
                <w:szCs w:val="22"/>
              </w:rPr>
              <w:t>0</w:t>
            </w:r>
          </w:p>
        </w:tc>
        <w:tc>
          <w:tcPr>
            <w:tcW w:w="1090" w:type="dxa"/>
            <w:tcBorders>
              <w:top w:val="single" w:sz="4" w:space="0" w:color="auto"/>
            </w:tcBorders>
            <w:shd w:val="clear" w:color="auto" w:fill="C5E0B3"/>
            <w:vAlign w:val="center"/>
          </w:tcPr>
          <w:p w:rsidR="00253D21" w:rsidRPr="00665AED" w:rsidRDefault="00665AED" w:rsidP="003247EA">
            <w:pPr>
              <w:jc w:val="right"/>
              <w:rPr>
                <w:rFonts w:ascii="Calibri" w:hAnsi="Calibri"/>
                <w:b/>
                <w:sz w:val="22"/>
                <w:szCs w:val="22"/>
              </w:rPr>
            </w:pPr>
            <w:r w:rsidRPr="00665AED">
              <w:rPr>
                <w:rFonts w:ascii="Calibri" w:hAnsi="Calibri"/>
                <w:b/>
                <w:sz w:val="22"/>
                <w:szCs w:val="22"/>
              </w:rPr>
              <w:t>0</w:t>
            </w:r>
          </w:p>
        </w:tc>
        <w:tc>
          <w:tcPr>
            <w:tcW w:w="876" w:type="dxa"/>
            <w:tcBorders>
              <w:top w:val="single" w:sz="4" w:space="0" w:color="auto"/>
            </w:tcBorders>
          </w:tcPr>
          <w:p w:rsidR="00253D21" w:rsidRPr="00665AED" w:rsidRDefault="00253D21" w:rsidP="003247EA">
            <w:pPr>
              <w:jc w:val="center"/>
              <w:rPr>
                <w:rFonts w:ascii="Calibri" w:hAnsi="Calibri"/>
                <w:b/>
                <w:sz w:val="22"/>
                <w:szCs w:val="22"/>
              </w:rPr>
            </w:pPr>
            <w:r w:rsidRPr="00665AED">
              <w:rPr>
                <w:rFonts w:cs="Arial"/>
                <w:noProof/>
                <w:color w:val="FFFFFF"/>
                <w:sz w:val="20"/>
                <w:szCs w:val="20"/>
                <w:lang w:eastAsia="en-GB"/>
              </w:rPr>
              <w:drawing>
                <wp:inline distT="0" distB="0" distL="0" distR="0" wp14:anchorId="706D976E" wp14:editId="37573D8A">
                  <wp:extent cx="409575" cy="371475"/>
                  <wp:effectExtent l="0" t="0" r="9525" b="9525"/>
                  <wp:docPr id="54" name="Picture 5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flipV="1">
                            <a:off x="0" y="0"/>
                            <a:ext cx="409575" cy="371475"/>
                          </a:xfrm>
                          <a:prstGeom prst="rect">
                            <a:avLst/>
                          </a:prstGeom>
                          <a:noFill/>
                          <a:ln>
                            <a:noFill/>
                          </a:ln>
                        </pic:spPr>
                      </pic:pic>
                    </a:graphicData>
                  </a:graphic>
                </wp:inline>
              </w:drawing>
            </w:r>
          </w:p>
        </w:tc>
      </w:tr>
    </w:tbl>
    <w:p w:rsidR="00253D21" w:rsidRDefault="00253D21" w:rsidP="00253D21">
      <w:pPr>
        <w:spacing w:before="120" w:after="120"/>
        <w:jc w:val="both"/>
        <w:rPr>
          <w:rFonts w:ascii="Calibri" w:hAnsi="Calibri" w:cs="Calibri"/>
          <w:sz w:val="22"/>
          <w:szCs w:val="22"/>
        </w:rPr>
      </w:pPr>
      <w:r w:rsidRPr="00FB6582">
        <w:rPr>
          <w:rFonts w:ascii="Calibri" w:hAnsi="Calibri" w:cs="Calibri"/>
          <w:sz w:val="22"/>
          <w:szCs w:val="22"/>
        </w:rPr>
        <w:t>Members are provided with monitoring reports on a six monthly basis in addition to reports being presented annually to Audit and Member Standards Committee.</w:t>
      </w:r>
    </w:p>
    <w:p w:rsidR="00253D21" w:rsidRPr="00B85E73" w:rsidRDefault="00253D21" w:rsidP="00253D21">
      <w:pPr>
        <w:widowControl w:val="0"/>
        <w:pBdr>
          <w:top w:val="single" w:sz="4" w:space="1" w:color="auto"/>
          <w:left w:val="single" w:sz="4" w:space="4" w:color="auto"/>
          <w:bottom w:val="single" w:sz="4" w:space="1" w:color="auto"/>
          <w:right w:val="single" w:sz="4" w:space="4" w:color="auto"/>
        </w:pBdr>
        <w:shd w:val="clear" w:color="auto" w:fill="CAB8F6"/>
        <w:spacing w:after="238" w:line="246" w:lineRule="exact"/>
        <w:ind w:left="567" w:hanging="567"/>
        <w:jc w:val="both"/>
        <w:rPr>
          <w:rFonts w:ascii="Calibri" w:eastAsia="Arial" w:hAnsi="Calibri" w:cs="Arial"/>
          <w:b/>
          <w:bCs/>
          <w:sz w:val="22"/>
          <w:szCs w:val="22"/>
          <w:lang w:eastAsia="en-GB"/>
        </w:rPr>
      </w:pPr>
      <w:r w:rsidRPr="00B85E73">
        <w:rPr>
          <w:rFonts w:ascii="Calibri" w:eastAsia="Arial" w:hAnsi="Calibri" w:cs="Arial"/>
          <w:b/>
          <w:bCs/>
          <w:sz w:val="22"/>
          <w:szCs w:val="22"/>
          <w:lang w:eastAsia="en-GB"/>
        </w:rPr>
        <w:t>C</w:t>
      </w:r>
      <w:r w:rsidRPr="00B85E73">
        <w:rPr>
          <w:rFonts w:ascii="Calibri" w:eastAsia="Arial" w:hAnsi="Calibri" w:cs="Arial"/>
          <w:b/>
          <w:bCs/>
          <w:sz w:val="22"/>
          <w:szCs w:val="22"/>
          <w:lang w:eastAsia="en-GB"/>
        </w:rPr>
        <w:tab/>
        <w:t>Defining Outcomes in Terms of Sustainable Economic, Social and Environmental Benefits</w:t>
      </w:r>
    </w:p>
    <w:p w:rsidR="0067768A" w:rsidRDefault="00253D21" w:rsidP="0067768A">
      <w:pPr>
        <w:spacing w:before="120" w:after="120"/>
        <w:jc w:val="both"/>
        <w:rPr>
          <w:rFonts w:ascii="Calibri" w:hAnsi="Calibri" w:cs="Calibri"/>
          <w:sz w:val="22"/>
          <w:szCs w:val="22"/>
        </w:rPr>
      </w:pPr>
      <w:r w:rsidRPr="00FB6582">
        <w:rPr>
          <w:rFonts w:ascii="Calibri" w:hAnsi="Calibri" w:cs="Arial"/>
          <w:sz w:val="22"/>
          <w:szCs w:val="22"/>
        </w:rPr>
        <w:t xml:space="preserve">Lichfield District Council has a clear vision in the form of the Strategic </w:t>
      </w:r>
      <w:r w:rsidRPr="0067768A">
        <w:rPr>
          <w:rFonts w:ascii="Calibri" w:hAnsi="Calibri" w:cs="Arial"/>
          <w:sz w:val="22"/>
          <w:szCs w:val="22"/>
        </w:rPr>
        <w:t xml:space="preserve">Plan </w:t>
      </w:r>
      <w:r w:rsidR="0067768A" w:rsidRPr="0067768A">
        <w:rPr>
          <w:rFonts w:ascii="Calibri" w:hAnsi="Calibri" w:cs="Calibri"/>
          <w:sz w:val="22"/>
          <w:szCs w:val="22"/>
        </w:rPr>
        <w:t xml:space="preserve">2020-24 which was produced following extensive consultation and review by Member, staff, stakeholder and resident focus groups. </w:t>
      </w:r>
    </w:p>
    <w:p w:rsidR="0067768A" w:rsidRPr="0067768A" w:rsidRDefault="0067768A" w:rsidP="0067768A">
      <w:pPr>
        <w:spacing w:before="120" w:after="120"/>
        <w:jc w:val="both"/>
        <w:rPr>
          <w:rFonts w:ascii="Calibri" w:hAnsi="Calibri" w:cs="Calibri"/>
          <w:sz w:val="22"/>
          <w:szCs w:val="22"/>
        </w:rPr>
      </w:pPr>
      <w:r w:rsidRPr="0067768A">
        <w:rPr>
          <w:rFonts w:ascii="Calibri" w:hAnsi="Calibri" w:cs="Arial"/>
          <w:sz w:val="22"/>
          <w:szCs w:val="22"/>
        </w:rPr>
        <w:t xml:space="preserve">The Strategic Plan is a formal statement of the Authority’s purpose and intended outcomes, and it provides the basis for the Council’s overall </w:t>
      </w:r>
      <w:r w:rsidRPr="0067768A">
        <w:rPr>
          <w:rFonts w:ascii="Calibri" w:hAnsi="Calibri" w:cs="Calibri"/>
          <w:sz w:val="22"/>
          <w:szCs w:val="22"/>
        </w:rPr>
        <w:t>strategy, planning and other decisions.</w:t>
      </w:r>
    </w:p>
    <w:p w:rsidR="0067768A" w:rsidRPr="0067768A" w:rsidRDefault="0067768A" w:rsidP="0067768A">
      <w:pPr>
        <w:spacing w:before="120" w:after="120"/>
        <w:jc w:val="both"/>
        <w:rPr>
          <w:rFonts w:ascii="Calibri" w:hAnsi="Calibri" w:cs="Calibri"/>
          <w:sz w:val="22"/>
          <w:szCs w:val="22"/>
        </w:rPr>
      </w:pPr>
      <w:r w:rsidRPr="0067768A">
        <w:rPr>
          <w:rFonts w:ascii="Calibri" w:hAnsi="Calibri" w:cs="Calibri"/>
          <w:sz w:val="22"/>
          <w:szCs w:val="22"/>
        </w:rPr>
        <w:t>It has become increasingly important that we are clear on where we need to allocate our resources,</w:t>
      </w:r>
      <w:r w:rsidRPr="0067768A">
        <w:rPr>
          <w:rFonts w:ascii="Calibri" w:hAnsi="Calibri" w:cs="Arial"/>
          <w:sz w:val="22"/>
          <w:szCs w:val="22"/>
        </w:rPr>
        <w:t xml:space="preserve"> and that we are focussing on the things that will make the biggest impact and difference. The Strategic Plan also focuses on those outcomes that are known to reduce demand and dependency on the </w:t>
      </w:r>
      <w:r w:rsidRPr="0067768A">
        <w:rPr>
          <w:rFonts w:ascii="Calibri" w:hAnsi="Calibri" w:cs="Calibri"/>
          <w:sz w:val="22"/>
          <w:szCs w:val="22"/>
        </w:rPr>
        <w:t>Council’s services (and the wider public purse).</w:t>
      </w:r>
    </w:p>
    <w:p w:rsidR="0067768A" w:rsidRPr="0067768A" w:rsidRDefault="0067768A" w:rsidP="0067768A">
      <w:pPr>
        <w:spacing w:before="120" w:after="120"/>
        <w:jc w:val="both"/>
        <w:rPr>
          <w:rFonts w:ascii="Calibri" w:hAnsi="Calibri" w:cs="Calibri"/>
          <w:sz w:val="22"/>
          <w:szCs w:val="22"/>
        </w:rPr>
      </w:pPr>
      <w:r w:rsidRPr="0067768A">
        <w:rPr>
          <w:rFonts w:ascii="Calibri" w:hAnsi="Calibri" w:cs="Calibri"/>
          <w:sz w:val="22"/>
          <w:szCs w:val="22"/>
        </w:rPr>
        <w:t>The key priority outcomes that the Plan aims to achieve are:</w:t>
      </w:r>
    </w:p>
    <w:p w:rsidR="00480D0D" w:rsidRPr="00480D0D" w:rsidRDefault="0067768A" w:rsidP="00480D0D">
      <w:pPr>
        <w:numPr>
          <w:ilvl w:val="0"/>
          <w:numId w:val="13"/>
        </w:numPr>
        <w:spacing w:before="120" w:after="120" w:line="252" w:lineRule="auto"/>
        <w:contextualSpacing/>
        <w:jc w:val="both"/>
        <w:rPr>
          <w:rFonts w:ascii="Calibri" w:eastAsiaTheme="minorHAnsi" w:hAnsi="Calibri" w:cs="Calibri"/>
          <w:sz w:val="22"/>
          <w:szCs w:val="22"/>
        </w:rPr>
      </w:pPr>
      <w:r w:rsidRPr="00480D0D">
        <w:rPr>
          <w:rFonts w:ascii="Calibri" w:eastAsiaTheme="minorHAnsi" w:hAnsi="Calibri" w:cs="Calibri"/>
          <w:b/>
          <w:sz w:val="22"/>
          <w:szCs w:val="22"/>
        </w:rPr>
        <w:lastRenderedPageBreak/>
        <w:t>Enabling people</w:t>
      </w:r>
      <w:r w:rsidRPr="00480D0D">
        <w:rPr>
          <w:rFonts w:ascii="Calibri" w:eastAsiaTheme="minorHAnsi" w:hAnsi="Calibri" w:cs="Calibri"/>
          <w:sz w:val="22"/>
          <w:szCs w:val="22"/>
        </w:rPr>
        <w:t xml:space="preserve"> -  to help themselves and others; to collaborate and engage with us; to live healthy and active lives</w:t>
      </w:r>
    </w:p>
    <w:p w:rsidR="0067768A" w:rsidRPr="00480D0D" w:rsidRDefault="0067768A" w:rsidP="00480D0D">
      <w:pPr>
        <w:numPr>
          <w:ilvl w:val="0"/>
          <w:numId w:val="13"/>
        </w:numPr>
        <w:spacing w:before="120" w:after="120" w:line="252" w:lineRule="auto"/>
        <w:contextualSpacing/>
        <w:jc w:val="both"/>
        <w:rPr>
          <w:rFonts w:ascii="Calibri" w:eastAsiaTheme="minorHAnsi" w:hAnsi="Calibri" w:cs="Calibri"/>
          <w:sz w:val="22"/>
          <w:szCs w:val="22"/>
        </w:rPr>
      </w:pPr>
      <w:r w:rsidRPr="00480D0D">
        <w:rPr>
          <w:rFonts w:ascii="Calibri" w:eastAsiaTheme="minorHAnsi" w:hAnsi="Calibri" w:cs="Calibri"/>
          <w:b/>
          <w:sz w:val="22"/>
          <w:szCs w:val="22"/>
        </w:rPr>
        <w:t>Shaping place</w:t>
      </w:r>
      <w:r w:rsidRPr="00480D0D">
        <w:rPr>
          <w:rFonts w:ascii="Calibri" w:eastAsiaTheme="minorHAnsi" w:hAnsi="Calibri" w:cs="Calibri"/>
          <w:sz w:val="22"/>
          <w:szCs w:val="22"/>
        </w:rPr>
        <w:t xml:space="preserve"> -  to keep it clean, green and safe;  to protect our most valuable assets; to make sure sustainability and infrastructure needs are balanced</w:t>
      </w:r>
    </w:p>
    <w:p w:rsidR="0067768A" w:rsidRPr="00480D0D" w:rsidRDefault="0067768A" w:rsidP="00480D0D">
      <w:pPr>
        <w:numPr>
          <w:ilvl w:val="0"/>
          <w:numId w:val="13"/>
        </w:numPr>
        <w:spacing w:before="120" w:after="120" w:line="252" w:lineRule="auto"/>
        <w:contextualSpacing/>
        <w:jc w:val="both"/>
        <w:rPr>
          <w:rFonts w:ascii="Calibri" w:eastAsiaTheme="minorHAnsi" w:hAnsi="Calibri" w:cs="Calibri"/>
          <w:sz w:val="22"/>
          <w:szCs w:val="22"/>
        </w:rPr>
      </w:pPr>
      <w:r w:rsidRPr="00480D0D">
        <w:rPr>
          <w:rFonts w:ascii="Calibri" w:eastAsiaTheme="minorHAnsi" w:hAnsi="Calibri" w:cs="Calibri"/>
          <w:b/>
          <w:sz w:val="22"/>
          <w:szCs w:val="22"/>
        </w:rPr>
        <w:t>Developing prosperity</w:t>
      </w:r>
      <w:r w:rsidRPr="00480D0D">
        <w:rPr>
          <w:rFonts w:ascii="Calibri" w:eastAsiaTheme="minorHAnsi" w:hAnsi="Calibri" w:cs="Calibri"/>
          <w:sz w:val="22"/>
          <w:szCs w:val="22"/>
        </w:rPr>
        <w:t xml:space="preserve"> – to encourage growth; to enhance the District for visitors; to invest in the future  </w:t>
      </w:r>
    </w:p>
    <w:p w:rsidR="0067768A" w:rsidRDefault="0067768A" w:rsidP="00480D0D">
      <w:pPr>
        <w:numPr>
          <w:ilvl w:val="0"/>
          <w:numId w:val="13"/>
        </w:numPr>
        <w:spacing w:before="120" w:after="120" w:line="252" w:lineRule="auto"/>
        <w:contextualSpacing/>
        <w:jc w:val="both"/>
        <w:rPr>
          <w:rFonts w:ascii="Calibri" w:hAnsi="Calibri" w:cs="Arial"/>
          <w:sz w:val="22"/>
          <w:szCs w:val="22"/>
        </w:rPr>
      </w:pPr>
      <w:r w:rsidRPr="00480D0D">
        <w:rPr>
          <w:rFonts w:ascii="Calibri" w:eastAsiaTheme="minorHAnsi" w:hAnsi="Calibri" w:cs="Calibri"/>
          <w:b/>
          <w:sz w:val="22"/>
          <w:szCs w:val="22"/>
        </w:rPr>
        <w:t>A good Council</w:t>
      </w:r>
      <w:r w:rsidRPr="00480D0D">
        <w:rPr>
          <w:rFonts w:ascii="Calibri" w:eastAsiaTheme="minorHAnsi" w:hAnsi="Calibri" w:cs="Calibri"/>
          <w:sz w:val="22"/>
          <w:szCs w:val="22"/>
        </w:rPr>
        <w:t xml:space="preserve"> – that is financially sound, transparent and accountable; is innovative and</w:t>
      </w:r>
      <w:r w:rsidRPr="0067768A">
        <w:rPr>
          <w:rFonts w:ascii="Calibri" w:hAnsi="Calibri" w:cs="Arial"/>
          <w:sz w:val="22"/>
          <w:szCs w:val="22"/>
        </w:rPr>
        <w:t xml:space="preserve"> customer focussed; has respect for everyone. </w:t>
      </w:r>
    </w:p>
    <w:p w:rsidR="00480D0D" w:rsidRPr="0067768A" w:rsidRDefault="00480D0D" w:rsidP="00480D0D">
      <w:pPr>
        <w:spacing w:before="120" w:after="120" w:line="252" w:lineRule="auto"/>
        <w:ind w:left="720"/>
        <w:contextualSpacing/>
        <w:jc w:val="both"/>
        <w:rPr>
          <w:rFonts w:ascii="Calibri" w:hAnsi="Calibri" w:cs="Arial"/>
          <w:sz w:val="22"/>
          <w:szCs w:val="22"/>
        </w:rPr>
      </w:pPr>
    </w:p>
    <w:p w:rsidR="0067768A" w:rsidRDefault="0067768A" w:rsidP="0067768A">
      <w:pPr>
        <w:spacing w:before="120" w:after="120"/>
        <w:jc w:val="both"/>
        <w:rPr>
          <w:rFonts w:ascii="Calibri" w:hAnsi="Calibri" w:cs="Calibri"/>
          <w:sz w:val="22"/>
          <w:szCs w:val="22"/>
        </w:rPr>
      </w:pPr>
      <w:r w:rsidRPr="0067768A">
        <w:rPr>
          <w:rFonts w:ascii="Calibri" w:hAnsi="Calibri" w:cs="Calibri"/>
          <w:sz w:val="22"/>
          <w:szCs w:val="22"/>
        </w:rPr>
        <w:t>This Strategic Plan was approved by Full Council on 18 February 2020, and c</w:t>
      </w:r>
      <w:r>
        <w:rPr>
          <w:rFonts w:ascii="Calibri" w:hAnsi="Calibri" w:cs="Calibri"/>
          <w:sz w:val="22"/>
          <w:szCs w:val="22"/>
        </w:rPr>
        <w:t>a</w:t>
      </w:r>
      <w:r w:rsidRPr="0067768A">
        <w:rPr>
          <w:rFonts w:ascii="Calibri" w:hAnsi="Calibri" w:cs="Calibri"/>
          <w:sz w:val="22"/>
          <w:szCs w:val="22"/>
        </w:rPr>
        <w:t>me into operation on 1 April 2020.</w:t>
      </w:r>
      <w:r>
        <w:rPr>
          <w:rFonts w:ascii="Calibri" w:hAnsi="Calibri" w:cs="Calibri"/>
          <w:sz w:val="22"/>
          <w:szCs w:val="22"/>
        </w:rPr>
        <w:t xml:space="preserve"> It can be found on the Council’s website.</w:t>
      </w:r>
    </w:p>
    <w:p w:rsidR="00253D21" w:rsidRPr="00727246" w:rsidRDefault="0067768A" w:rsidP="00253D21">
      <w:pPr>
        <w:spacing w:before="120" w:after="120"/>
        <w:jc w:val="both"/>
        <w:rPr>
          <w:rFonts w:ascii="Calibri" w:hAnsi="Calibri" w:cs="Calibri"/>
          <w:sz w:val="22"/>
          <w:szCs w:val="22"/>
        </w:rPr>
      </w:pPr>
      <w:r w:rsidRPr="0067768A">
        <w:rPr>
          <w:rFonts w:ascii="Calibri" w:hAnsi="Calibri" w:cs="Calibri"/>
          <w:sz w:val="22"/>
          <w:szCs w:val="22"/>
        </w:rPr>
        <w:t>Leadership Team and Cabinet</w:t>
      </w:r>
      <w:r w:rsidR="005B2357">
        <w:rPr>
          <w:rFonts w:ascii="Calibri" w:hAnsi="Calibri" w:cs="Calibri"/>
          <w:sz w:val="22"/>
          <w:szCs w:val="22"/>
        </w:rPr>
        <w:t xml:space="preserve"> have</w:t>
      </w:r>
      <w:r w:rsidRPr="0067768A">
        <w:rPr>
          <w:rFonts w:ascii="Calibri" w:hAnsi="Calibri" w:cs="Calibri"/>
          <w:sz w:val="22"/>
          <w:szCs w:val="22"/>
        </w:rPr>
        <w:t xml:space="preserve"> identif</w:t>
      </w:r>
      <w:r w:rsidR="005B2357">
        <w:rPr>
          <w:rFonts w:ascii="Calibri" w:hAnsi="Calibri" w:cs="Calibri"/>
          <w:sz w:val="22"/>
          <w:szCs w:val="22"/>
        </w:rPr>
        <w:t>ied</w:t>
      </w:r>
      <w:r w:rsidRPr="0067768A">
        <w:rPr>
          <w:rFonts w:ascii="Calibri" w:hAnsi="Calibri" w:cs="Calibri"/>
          <w:sz w:val="22"/>
          <w:szCs w:val="22"/>
        </w:rPr>
        <w:t xml:space="preserve"> the top priority issues that needed to be addressed to ensure</w:t>
      </w:r>
      <w:r w:rsidRPr="0067768A">
        <w:rPr>
          <w:rFonts w:ascii="Calibri" w:hAnsi="Calibri" w:cs="Arial"/>
          <w:sz w:val="22"/>
          <w:szCs w:val="22"/>
        </w:rPr>
        <w:t xml:space="preserve"> these are achieved over the next 12 - 18 months. These priorities have formed the basis of the Delivery </w:t>
      </w:r>
      <w:r w:rsidR="00C05EE3">
        <w:rPr>
          <w:rFonts w:ascii="Calibri" w:hAnsi="Calibri" w:cs="Arial"/>
          <w:sz w:val="22"/>
          <w:szCs w:val="22"/>
        </w:rPr>
        <w:t>P</w:t>
      </w:r>
      <w:r w:rsidRPr="0067768A">
        <w:rPr>
          <w:rFonts w:ascii="Calibri" w:hAnsi="Calibri" w:cs="Calibri"/>
          <w:sz w:val="22"/>
          <w:szCs w:val="22"/>
        </w:rPr>
        <w:t xml:space="preserve">lan for 2020/21 and the annual </w:t>
      </w:r>
      <w:r w:rsidR="00C05EE3">
        <w:rPr>
          <w:rFonts w:ascii="Calibri" w:hAnsi="Calibri" w:cs="Calibri"/>
          <w:sz w:val="22"/>
          <w:szCs w:val="22"/>
        </w:rPr>
        <w:t>S</w:t>
      </w:r>
      <w:r w:rsidRPr="0067768A">
        <w:rPr>
          <w:rFonts w:ascii="Calibri" w:hAnsi="Calibri" w:cs="Calibri"/>
          <w:sz w:val="22"/>
          <w:szCs w:val="22"/>
        </w:rPr>
        <w:t xml:space="preserve">ervice </w:t>
      </w:r>
      <w:r w:rsidR="00C05EE3">
        <w:rPr>
          <w:rFonts w:ascii="Calibri" w:hAnsi="Calibri" w:cs="Calibri"/>
          <w:sz w:val="22"/>
          <w:szCs w:val="22"/>
        </w:rPr>
        <w:t>P</w:t>
      </w:r>
      <w:r w:rsidRPr="0067768A">
        <w:rPr>
          <w:rFonts w:ascii="Calibri" w:hAnsi="Calibri" w:cs="Calibri"/>
          <w:sz w:val="22"/>
          <w:szCs w:val="22"/>
        </w:rPr>
        <w:t>lans.</w:t>
      </w:r>
      <w:r w:rsidR="00727246">
        <w:rPr>
          <w:rFonts w:ascii="Calibri" w:hAnsi="Calibri" w:cs="Calibri"/>
          <w:sz w:val="22"/>
          <w:szCs w:val="22"/>
        </w:rPr>
        <w:t xml:space="preserve"> </w:t>
      </w:r>
      <w:r w:rsidR="00727246" w:rsidRPr="00727246">
        <w:rPr>
          <w:rFonts w:ascii="Calibri" w:hAnsi="Calibri" w:cs="Calibri"/>
          <w:sz w:val="22"/>
          <w:szCs w:val="22"/>
        </w:rPr>
        <w:t xml:space="preserve">The </w:t>
      </w:r>
      <w:r w:rsidR="005B2357">
        <w:rPr>
          <w:rFonts w:ascii="Calibri" w:hAnsi="Calibri" w:cs="Calibri"/>
          <w:sz w:val="22"/>
          <w:szCs w:val="22"/>
        </w:rPr>
        <w:t xml:space="preserve">Delivery </w:t>
      </w:r>
      <w:r w:rsidR="00727246" w:rsidRPr="00727246">
        <w:rPr>
          <w:rFonts w:ascii="Calibri" w:hAnsi="Calibri" w:cs="Calibri"/>
          <w:sz w:val="22"/>
          <w:szCs w:val="22"/>
        </w:rPr>
        <w:t>Plan</w:t>
      </w:r>
      <w:r w:rsidR="00253D21" w:rsidRPr="00727246">
        <w:rPr>
          <w:rFonts w:ascii="Calibri" w:hAnsi="Calibri" w:cs="Calibri"/>
          <w:sz w:val="22"/>
          <w:szCs w:val="22"/>
        </w:rPr>
        <w:t xml:space="preserve"> captures the performance the Council has delivered so far against the aspirations set out in the Strategic Plan, then maps out the activity that will take place over the period 20</w:t>
      </w:r>
      <w:r w:rsidR="00727246" w:rsidRPr="00727246">
        <w:rPr>
          <w:rFonts w:ascii="Calibri" w:hAnsi="Calibri" w:cs="Calibri"/>
          <w:sz w:val="22"/>
          <w:szCs w:val="22"/>
        </w:rPr>
        <w:t>20</w:t>
      </w:r>
      <w:r w:rsidR="00253D21" w:rsidRPr="00727246">
        <w:rPr>
          <w:rFonts w:ascii="Calibri" w:hAnsi="Calibri" w:cs="Calibri"/>
          <w:sz w:val="22"/>
          <w:szCs w:val="22"/>
        </w:rPr>
        <w:t>-2</w:t>
      </w:r>
      <w:r w:rsidR="00727246" w:rsidRPr="00727246">
        <w:rPr>
          <w:rFonts w:ascii="Calibri" w:hAnsi="Calibri" w:cs="Calibri"/>
          <w:sz w:val="22"/>
          <w:szCs w:val="22"/>
        </w:rPr>
        <w:t>4</w:t>
      </w:r>
      <w:r w:rsidR="00253D21" w:rsidRPr="00727246">
        <w:rPr>
          <w:rFonts w:ascii="Calibri" w:hAnsi="Calibri" w:cs="Calibri"/>
          <w:sz w:val="22"/>
          <w:szCs w:val="22"/>
        </w:rPr>
        <w:t>.</w:t>
      </w:r>
    </w:p>
    <w:p w:rsidR="00727246" w:rsidRDefault="00253D21" w:rsidP="00253D21">
      <w:pPr>
        <w:spacing w:before="120" w:after="120"/>
        <w:jc w:val="both"/>
        <w:rPr>
          <w:rFonts w:ascii="Calibri" w:hAnsi="Calibri" w:cs="Calibri"/>
          <w:sz w:val="22"/>
          <w:szCs w:val="22"/>
        </w:rPr>
      </w:pPr>
      <w:r w:rsidRPr="00727246">
        <w:rPr>
          <w:rFonts w:ascii="Calibri" w:hAnsi="Calibri" w:cs="Calibri"/>
          <w:sz w:val="22"/>
          <w:szCs w:val="22"/>
        </w:rPr>
        <w:t>Actions are mapped directly back to commitments and aspirations in each of the Council’s priorities in the Strategic Plan. They are also linked to each Head of Service and team service plans in addition to indivi</w:t>
      </w:r>
      <w:r w:rsidR="00727246">
        <w:rPr>
          <w:rFonts w:ascii="Calibri" w:hAnsi="Calibri" w:cs="Calibri"/>
          <w:sz w:val="22"/>
          <w:szCs w:val="22"/>
        </w:rPr>
        <w:t>dual staff members’ PDR targets.</w:t>
      </w:r>
    </w:p>
    <w:p w:rsidR="00253D21" w:rsidRPr="00FB6582" w:rsidRDefault="00253D21" w:rsidP="00253D21">
      <w:pPr>
        <w:spacing w:before="120" w:after="120"/>
        <w:jc w:val="both"/>
        <w:rPr>
          <w:rFonts w:ascii="Calibri" w:hAnsi="Calibri" w:cs="Calibri"/>
          <w:sz w:val="22"/>
          <w:szCs w:val="22"/>
        </w:rPr>
      </w:pPr>
      <w:r w:rsidRPr="00FB6582">
        <w:rPr>
          <w:rFonts w:ascii="Calibri" w:hAnsi="Calibri" w:cs="Calibri"/>
          <w:sz w:val="22"/>
          <w:szCs w:val="22"/>
        </w:rPr>
        <w:t>Officers responsible for the Delivery Plan and Service Plan actions update the Pentana system to</w:t>
      </w:r>
      <w:r w:rsidRPr="00FB6582">
        <w:rPr>
          <w:rFonts w:ascii="Calibri" w:hAnsi="Calibri" w:cs="Arial"/>
          <w:sz w:val="22"/>
          <w:szCs w:val="22"/>
        </w:rPr>
        <w:t xml:space="preserve"> ensure that the latest performance on each individual action is registered in a central location, ensuring that the Council’s officers and Members can access real-time performance </w:t>
      </w:r>
      <w:r w:rsidRPr="00FB6582">
        <w:rPr>
          <w:rFonts w:ascii="Calibri" w:hAnsi="Calibri" w:cs="Calibri"/>
          <w:sz w:val="22"/>
          <w:szCs w:val="22"/>
        </w:rPr>
        <w:t>monitoring.</w:t>
      </w:r>
    </w:p>
    <w:p w:rsidR="00253D21" w:rsidRPr="00985EFC" w:rsidRDefault="00253D21" w:rsidP="00253D21">
      <w:pPr>
        <w:spacing w:before="120" w:after="120"/>
        <w:jc w:val="both"/>
        <w:rPr>
          <w:rFonts w:ascii="Calibri" w:hAnsi="Calibri" w:cs="Calibri"/>
          <w:sz w:val="22"/>
          <w:szCs w:val="22"/>
        </w:rPr>
      </w:pPr>
      <w:r w:rsidRPr="00FB6582">
        <w:rPr>
          <w:rFonts w:ascii="Calibri" w:hAnsi="Calibri" w:cs="Calibri"/>
          <w:sz w:val="22"/>
          <w:szCs w:val="22"/>
        </w:rPr>
        <w:t xml:space="preserve">The Delivery Plan is reviewed on an ongoing basis by Leadership Team and progress reported on a six-monthly basis to Cabinet. A full </w:t>
      </w:r>
      <w:r w:rsidRPr="00985EFC">
        <w:rPr>
          <w:rFonts w:ascii="Calibri" w:hAnsi="Calibri" w:cs="Calibri"/>
          <w:sz w:val="22"/>
          <w:szCs w:val="22"/>
        </w:rPr>
        <w:t>year Delivery Plan Performance update report is taken to Cabinet in the Ju</w:t>
      </w:r>
      <w:r w:rsidR="0032197B" w:rsidRPr="00985EFC">
        <w:rPr>
          <w:rFonts w:ascii="Calibri" w:hAnsi="Calibri" w:cs="Calibri"/>
          <w:sz w:val="22"/>
          <w:szCs w:val="22"/>
        </w:rPr>
        <w:t>ne</w:t>
      </w:r>
      <w:r w:rsidRPr="00985EFC">
        <w:rPr>
          <w:rFonts w:ascii="Calibri" w:hAnsi="Calibri" w:cs="Calibri"/>
          <w:sz w:val="22"/>
          <w:szCs w:val="22"/>
        </w:rPr>
        <w:t xml:space="preserve"> following the financial year end.  It is also shared with the Chairs of the Council’s four Overview and Scrutiny Committees through the Overview and Scrutiny Co-ordinating Group.</w:t>
      </w:r>
    </w:p>
    <w:p w:rsidR="00253D21" w:rsidRPr="00FB6582" w:rsidRDefault="00727246" w:rsidP="00253D21">
      <w:pPr>
        <w:spacing w:before="120" w:after="120"/>
        <w:jc w:val="both"/>
        <w:rPr>
          <w:rFonts w:ascii="Calibri" w:hAnsi="Calibri" w:cs="Calibri"/>
          <w:sz w:val="22"/>
          <w:szCs w:val="22"/>
        </w:rPr>
      </w:pPr>
      <w:r w:rsidRPr="00985EFC">
        <w:rPr>
          <w:rFonts w:ascii="Calibri" w:hAnsi="Calibri" w:cs="Calibri"/>
          <w:sz w:val="22"/>
          <w:szCs w:val="22"/>
        </w:rPr>
        <w:t>P</w:t>
      </w:r>
      <w:r w:rsidR="00253D21" w:rsidRPr="00985EFC">
        <w:rPr>
          <w:rFonts w:ascii="Calibri" w:hAnsi="Calibri" w:cs="Calibri"/>
          <w:sz w:val="22"/>
          <w:szCs w:val="22"/>
        </w:rPr>
        <w:t>erformance reporting take</w:t>
      </w:r>
      <w:r w:rsidRPr="00985EFC">
        <w:rPr>
          <w:rFonts w:ascii="Calibri" w:hAnsi="Calibri" w:cs="Calibri"/>
          <w:sz w:val="22"/>
          <w:szCs w:val="22"/>
        </w:rPr>
        <w:t>s</w:t>
      </w:r>
      <w:r w:rsidR="00253D21" w:rsidRPr="00985EFC">
        <w:rPr>
          <w:rFonts w:ascii="Calibri" w:hAnsi="Calibri" w:cs="Calibri"/>
          <w:sz w:val="22"/>
          <w:szCs w:val="22"/>
        </w:rPr>
        <w:t xml:space="preserve"> place in line with reporting on the Council’s Medium Term Financial Strategy to allow informed discussions around the impact of budgetary pressures on performance to take place.</w:t>
      </w:r>
    </w:p>
    <w:p w:rsidR="00253D21" w:rsidRPr="003A5A7F" w:rsidRDefault="00253D21" w:rsidP="00253D21">
      <w:pPr>
        <w:spacing w:before="120" w:after="120"/>
        <w:jc w:val="both"/>
        <w:rPr>
          <w:rFonts w:ascii="Calibri" w:hAnsi="Calibri" w:cs="Calibri"/>
          <w:sz w:val="22"/>
          <w:szCs w:val="22"/>
        </w:rPr>
      </w:pPr>
      <w:r w:rsidRPr="003A5A7F">
        <w:rPr>
          <w:rFonts w:ascii="Calibri" w:hAnsi="Calibri" w:cs="Calibri"/>
          <w:sz w:val="22"/>
          <w:szCs w:val="22"/>
        </w:rPr>
        <w:t>The Council has a Local Plan that covers the period 2008-29, that seeks to encourage sustainable development within the Lichfield District area, and includes policies on a number of key themes, including sustainable communities, infrastructure, homes for the future, economic development and enterprise, and healthy and safe communities. The Plan will therefore help to make sure the District is developed in the right way, including building the right number and types of houses, developing the right kind of shopping and recreational facilities, getting the right office and industrial spaces, creating opportunities for local jobs to be nurtured and protecting our wildlife, landscapes and heritage.</w:t>
      </w:r>
    </w:p>
    <w:p w:rsidR="00253D21" w:rsidRDefault="00253D21" w:rsidP="00253D21">
      <w:pPr>
        <w:spacing w:before="120" w:after="120"/>
        <w:jc w:val="both"/>
        <w:rPr>
          <w:rFonts w:ascii="Calibri" w:hAnsi="Calibri" w:cs="Calibri"/>
          <w:sz w:val="22"/>
          <w:szCs w:val="22"/>
        </w:rPr>
      </w:pPr>
      <w:r w:rsidRPr="003A5A7F">
        <w:rPr>
          <w:rFonts w:ascii="Calibri" w:hAnsi="Calibri" w:cs="Arial"/>
          <w:sz w:val="22"/>
          <w:szCs w:val="22"/>
        </w:rPr>
        <w:t xml:space="preserve">Progress reports on the implementation of the Local Plan are presented to Overview and Scrutiny </w:t>
      </w:r>
      <w:r w:rsidRPr="003A5A7F">
        <w:rPr>
          <w:rFonts w:ascii="Calibri" w:hAnsi="Calibri" w:cs="Calibri"/>
          <w:sz w:val="22"/>
          <w:szCs w:val="22"/>
        </w:rPr>
        <w:t xml:space="preserve">Committee in addition to Cabinet. </w:t>
      </w:r>
    </w:p>
    <w:p w:rsidR="00117078" w:rsidRPr="0095301B" w:rsidRDefault="00117078" w:rsidP="00117078">
      <w:pPr>
        <w:spacing w:before="120" w:after="120"/>
        <w:jc w:val="both"/>
        <w:rPr>
          <w:rFonts w:ascii="Calibri" w:hAnsi="Calibri" w:cs="Calibri"/>
          <w:sz w:val="22"/>
          <w:szCs w:val="22"/>
        </w:rPr>
      </w:pPr>
      <w:r w:rsidRPr="0095301B">
        <w:rPr>
          <w:rFonts w:ascii="Calibri" w:hAnsi="Calibri" w:cs="Calibri"/>
          <w:sz w:val="22"/>
          <w:szCs w:val="22"/>
        </w:rPr>
        <w:t>The Planning and Compulsory Purchase Act 2004 introduced the requirement for local planning authorities to prepare and maintain a Local Development Scheme (LDS). The LDS is a project plan that</w:t>
      </w:r>
      <w:r w:rsidRPr="0095301B">
        <w:rPr>
          <w:rFonts w:ascii="Calibri" w:hAnsi="Calibri" w:cs="Arial"/>
          <w:sz w:val="22"/>
          <w:szCs w:val="22"/>
        </w:rPr>
        <w:t xml:space="preserve"> sets out a timetable for the production of a new or revised Development Plan Documents (such as the Local Plan and any other supporting documents, such as </w:t>
      </w:r>
      <w:r w:rsidRPr="0095301B">
        <w:rPr>
          <w:rFonts w:ascii="Calibri" w:hAnsi="Calibri" w:cs="Calibri"/>
          <w:sz w:val="22"/>
          <w:szCs w:val="22"/>
        </w:rPr>
        <w:t xml:space="preserve">supplementary planning documents) by the publishing council. </w:t>
      </w:r>
    </w:p>
    <w:p w:rsidR="00117078" w:rsidRPr="007F5415" w:rsidRDefault="00117078" w:rsidP="00117078">
      <w:pPr>
        <w:spacing w:before="120" w:after="120"/>
        <w:jc w:val="both"/>
        <w:rPr>
          <w:rFonts w:ascii="Calibri" w:hAnsi="Calibri" w:cs="Calibri"/>
          <w:sz w:val="22"/>
          <w:szCs w:val="22"/>
          <w:highlight w:val="yellow"/>
        </w:rPr>
      </w:pPr>
      <w:r w:rsidRPr="0095301B">
        <w:rPr>
          <w:rFonts w:ascii="Calibri" w:hAnsi="Calibri" w:cs="Calibri"/>
          <w:sz w:val="22"/>
          <w:szCs w:val="22"/>
        </w:rPr>
        <w:t>The Council updated its LDS in July 2020 to identify a revised timetable for preparing the Local Plan that shapes how the District will be developed up to 2040 (to be adopted in February 2022). This updated version was considered by Economic Growth, Environment and Development (Overview and Scrutiny) Committee in March 2020 and approved by Cabinet in May 2020.</w:t>
      </w:r>
    </w:p>
    <w:p w:rsidR="00117078" w:rsidRPr="009E2A35" w:rsidRDefault="00117078" w:rsidP="00117078">
      <w:pPr>
        <w:spacing w:before="120" w:after="120"/>
        <w:jc w:val="both"/>
        <w:rPr>
          <w:rFonts w:ascii="Calibri" w:hAnsi="Calibri" w:cs="Calibri"/>
          <w:sz w:val="22"/>
          <w:szCs w:val="22"/>
        </w:rPr>
      </w:pPr>
      <w:r w:rsidRPr="009E2A35">
        <w:rPr>
          <w:rFonts w:ascii="Calibri" w:hAnsi="Calibri" w:cs="Arial"/>
          <w:sz w:val="22"/>
          <w:szCs w:val="22"/>
        </w:rPr>
        <w:lastRenderedPageBreak/>
        <w:t>From December 2020</w:t>
      </w:r>
      <w:r>
        <w:rPr>
          <w:rFonts w:ascii="Calibri" w:hAnsi="Calibri" w:cs="Arial"/>
          <w:sz w:val="22"/>
          <w:szCs w:val="22"/>
        </w:rPr>
        <w:t>,</w:t>
      </w:r>
      <w:r w:rsidRPr="009E2A35">
        <w:rPr>
          <w:rFonts w:ascii="Calibri" w:hAnsi="Calibri" w:cs="Arial"/>
          <w:sz w:val="22"/>
          <w:szCs w:val="22"/>
        </w:rPr>
        <w:t xml:space="preserve"> authorities are required to prepare and publish an Infrastructure Funding Statement (IFS) covering the previous reporting year. These statements will explain how the spending of any forecasted income from both CIL and Section 106 planning obligations over a five year period will be prioritised. The District Council published its first IFS in</w:t>
      </w:r>
      <w:r w:rsidRPr="009E2A35">
        <w:rPr>
          <w:rFonts w:ascii="Calibri" w:hAnsi="Calibri" w:cs="Calibri"/>
          <w:sz w:val="22"/>
          <w:szCs w:val="22"/>
        </w:rPr>
        <w:t xml:space="preserve"> December 2020 which covered the 2019/20 reporting year.</w:t>
      </w:r>
    </w:p>
    <w:p w:rsidR="00117078" w:rsidRDefault="00117078" w:rsidP="00117078">
      <w:pPr>
        <w:spacing w:before="120" w:after="120"/>
        <w:jc w:val="both"/>
        <w:rPr>
          <w:rFonts w:ascii="Calibri" w:hAnsi="Calibri" w:cs="Calibri"/>
          <w:sz w:val="22"/>
          <w:szCs w:val="22"/>
        </w:rPr>
      </w:pPr>
      <w:r w:rsidRPr="00986189">
        <w:rPr>
          <w:rFonts w:ascii="Calibri" w:hAnsi="Calibri" w:cs="Calibri"/>
          <w:sz w:val="22"/>
          <w:szCs w:val="22"/>
        </w:rPr>
        <w:t>The Council is promoting Neighbourhood Plans the adoption of which will, in addition to guiding future development, enable parish areas to receive a share of the financial benefits of development that comes from the CIL, and also allow them to set their own priorities for its investment. In 20</w:t>
      </w:r>
      <w:r>
        <w:rPr>
          <w:rFonts w:ascii="Calibri" w:hAnsi="Calibri" w:cs="Calibri"/>
          <w:sz w:val="22"/>
          <w:szCs w:val="22"/>
        </w:rPr>
        <w:t>20</w:t>
      </w:r>
      <w:r w:rsidRPr="00986189">
        <w:rPr>
          <w:rFonts w:ascii="Calibri" w:hAnsi="Calibri" w:cs="Calibri"/>
          <w:sz w:val="22"/>
          <w:szCs w:val="22"/>
        </w:rPr>
        <w:t>/2</w:t>
      </w:r>
      <w:r>
        <w:rPr>
          <w:rFonts w:ascii="Calibri" w:hAnsi="Calibri" w:cs="Calibri"/>
          <w:sz w:val="22"/>
          <w:szCs w:val="22"/>
        </w:rPr>
        <w:t>1</w:t>
      </w:r>
      <w:r w:rsidR="004722BD">
        <w:rPr>
          <w:rFonts w:ascii="Calibri" w:hAnsi="Calibri" w:cs="Calibri"/>
          <w:sz w:val="22"/>
          <w:szCs w:val="22"/>
        </w:rPr>
        <w:t>, as a result of the Covid-19 pandemic,</w:t>
      </w:r>
      <w:r w:rsidRPr="00986189">
        <w:rPr>
          <w:rFonts w:ascii="Calibri" w:hAnsi="Calibri" w:cs="Calibri"/>
          <w:sz w:val="22"/>
          <w:szCs w:val="22"/>
        </w:rPr>
        <w:t xml:space="preserve"> no </w:t>
      </w:r>
      <w:r>
        <w:rPr>
          <w:rFonts w:ascii="Calibri" w:hAnsi="Calibri" w:cs="Calibri"/>
          <w:sz w:val="22"/>
          <w:szCs w:val="22"/>
        </w:rPr>
        <w:t>Neighbourhood Plan referendums</w:t>
      </w:r>
      <w:r w:rsidR="00B27DD8">
        <w:rPr>
          <w:rFonts w:ascii="Calibri" w:hAnsi="Calibri" w:cs="Calibri"/>
          <w:sz w:val="22"/>
          <w:szCs w:val="22"/>
        </w:rPr>
        <w:t xml:space="preserve"> were able to take place</w:t>
      </w:r>
      <w:r w:rsidRPr="00986189">
        <w:rPr>
          <w:rFonts w:ascii="Calibri" w:hAnsi="Calibri" w:cs="Calibri"/>
          <w:sz w:val="22"/>
          <w:szCs w:val="22"/>
        </w:rPr>
        <w:t>.</w:t>
      </w:r>
      <w:r w:rsidR="00B27DD8">
        <w:rPr>
          <w:rFonts w:ascii="Calibri" w:hAnsi="Calibri" w:cs="Calibri"/>
          <w:sz w:val="22"/>
          <w:szCs w:val="22"/>
        </w:rPr>
        <w:t xml:space="preserve"> </w:t>
      </w:r>
    </w:p>
    <w:p w:rsidR="00253D21" w:rsidRPr="00B85E73" w:rsidRDefault="00253D21" w:rsidP="00253D21">
      <w:pPr>
        <w:widowControl w:val="0"/>
        <w:pBdr>
          <w:top w:val="single" w:sz="4" w:space="1" w:color="auto"/>
          <w:left w:val="single" w:sz="4" w:space="4" w:color="auto"/>
          <w:bottom w:val="single" w:sz="4" w:space="1" w:color="auto"/>
          <w:right w:val="single" w:sz="4" w:space="4" w:color="auto"/>
        </w:pBdr>
        <w:shd w:val="clear" w:color="auto" w:fill="CAB8F6"/>
        <w:spacing w:after="242" w:line="246" w:lineRule="exact"/>
        <w:ind w:left="567" w:hanging="567"/>
        <w:jc w:val="both"/>
        <w:rPr>
          <w:rFonts w:ascii="Calibri" w:eastAsia="Arial" w:hAnsi="Calibri" w:cs="Arial"/>
          <w:b/>
          <w:bCs/>
          <w:sz w:val="22"/>
          <w:szCs w:val="22"/>
          <w:lang w:eastAsia="en-GB"/>
        </w:rPr>
      </w:pPr>
      <w:r w:rsidRPr="00B85E73">
        <w:rPr>
          <w:rFonts w:ascii="Calibri" w:eastAsia="Arial" w:hAnsi="Calibri" w:cs="Arial"/>
          <w:b/>
          <w:bCs/>
          <w:sz w:val="22"/>
          <w:szCs w:val="22"/>
          <w:lang w:eastAsia="en-GB"/>
        </w:rPr>
        <w:t>D</w:t>
      </w:r>
      <w:r w:rsidRPr="00B85E73">
        <w:rPr>
          <w:rFonts w:ascii="Calibri" w:eastAsia="Arial" w:hAnsi="Calibri" w:cs="Arial"/>
          <w:b/>
          <w:bCs/>
          <w:sz w:val="22"/>
          <w:szCs w:val="22"/>
          <w:lang w:eastAsia="en-GB"/>
        </w:rPr>
        <w:tab/>
        <w:t>Determining the Interventions Necessary to Optimise the Achievements of the Intended Outcomes</w:t>
      </w:r>
    </w:p>
    <w:p w:rsidR="00253D21" w:rsidRPr="00FB6582" w:rsidRDefault="00253D21" w:rsidP="00253D21">
      <w:pPr>
        <w:jc w:val="both"/>
        <w:rPr>
          <w:rFonts w:ascii="Calibri" w:hAnsi="Calibri" w:cs="Arial"/>
          <w:sz w:val="22"/>
          <w:szCs w:val="22"/>
        </w:rPr>
      </w:pPr>
      <w:r w:rsidRPr="00FB6582">
        <w:rPr>
          <w:rFonts w:ascii="Calibri" w:hAnsi="Calibri" w:cs="Arial"/>
          <w:sz w:val="22"/>
          <w:szCs w:val="22"/>
        </w:rPr>
        <w:t>The Strategic Plan 20</w:t>
      </w:r>
      <w:r w:rsidR="00FB6582" w:rsidRPr="00FB6582">
        <w:rPr>
          <w:rFonts w:ascii="Calibri" w:hAnsi="Calibri" w:cs="Arial"/>
          <w:sz w:val="22"/>
          <w:szCs w:val="22"/>
        </w:rPr>
        <w:t>20</w:t>
      </w:r>
      <w:r w:rsidRPr="00FB6582">
        <w:rPr>
          <w:rFonts w:ascii="Calibri" w:hAnsi="Calibri" w:cs="Arial"/>
          <w:sz w:val="22"/>
          <w:szCs w:val="22"/>
        </w:rPr>
        <w:t>-2</w:t>
      </w:r>
      <w:r w:rsidR="00FB6582" w:rsidRPr="00FB6582">
        <w:rPr>
          <w:rFonts w:ascii="Calibri" w:hAnsi="Calibri" w:cs="Arial"/>
          <w:sz w:val="22"/>
          <w:szCs w:val="22"/>
        </w:rPr>
        <w:t>4</w:t>
      </w:r>
      <w:r w:rsidRPr="00FB6582">
        <w:rPr>
          <w:rFonts w:ascii="Calibri" w:hAnsi="Calibri" w:cs="Arial"/>
          <w:sz w:val="22"/>
          <w:szCs w:val="22"/>
        </w:rPr>
        <w:t xml:space="preserve"> sets out the opportunities and challenges we face, the needs of the community, the Council’s aspirations, our focus, and our priorities covering the life of this Council.</w:t>
      </w:r>
    </w:p>
    <w:p w:rsidR="00253D21" w:rsidRPr="00A34A91" w:rsidRDefault="00253D21" w:rsidP="00253D21">
      <w:pPr>
        <w:spacing w:before="120" w:after="120"/>
        <w:jc w:val="both"/>
        <w:rPr>
          <w:rFonts w:ascii="Calibri" w:hAnsi="Calibri" w:cs="Calibri"/>
          <w:sz w:val="22"/>
          <w:szCs w:val="22"/>
        </w:rPr>
      </w:pPr>
      <w:r w:rsidRPr="00FB6582">
        <w:rPr>
          <w:rFonts w:ascii="Calibri" w:hAnsi="Calibri" w:cs="Arial"/>
          <w:sz w:val="22"/>
          <w:szCs w:val="22"/>
        </w:rPr>
        <w:t xml:space="preserve">To fund the Strategic Plan, the Council prepares a Medium Term Financial Strategy (MTFS). This covers how we will use our reserves, our investments, the approach to Council Tax, and how we will deploy our capital. It also looks over the medium term at the cost pressures we are likely to face and how these could be financed. The Strategic Plan must drive the Financial </w:t>
      </w:r>
      <w:r w:rsidRPr="00A34A91">
        <w:rPr>
          <w:rFonts w:ascii="Calibri" w:hAnsi="Calibri" w:cs="Arial"/>
          <w:sz w:val="22"/>
          <w:szCs w:val="22"/>
        </w:rPr>
        <w:t xml:space="preserve">Strategy. The MTFS relevant for </w:t>
      </w:r>
      <w:r w:rsidRPr="00A34A91">
        <w:rPr>
          <w:rFonts w:ascii="Calibri" w:hAnsi="Calibri" w:cs="Calibri"/>
          <w:sz w:val="22"/>
          <w:szCs w:val="22"/>
        </w:rPr>
        <w:t>20</w:t>
      </w:r>
      <w:r w:rsidR="00A34A91" w:rsidRPr="00A34A91">
        <w:rPr>
          <w:rFonts w:ascii="Calibri" w:hAnsi="Calibri" w:cs="Calibri"/>
          <w:sz w:val="22"/>
          <w:szCs w:val="22"/>
        </w:rPr>
        <w:t>20</w:t>
      </w:r>
      <w:r w:rsidRPr="00A34A91">
        <w:rPr>
          <w:rFonts w:ascii="Calibri" w:hAnsi="Calibri" w:cs="Calibri"/>
          <w:sz w:val="22"/>
          <w:szCs w:val="22"/>
        </w:rPr>
        <w:t>/2</w:t>
      </w:r>
      <w:r w:rsidR="00A34A91" w:rsidRPr="00A34A91">
        <w:rPr>
          <w:rFonts w:ascii="Calibri" w:hAnsi="Calibri" w:cs="Calibri"/>
          <w:sz w:val="22"/>
          <w:szCs w:val="22"/>
        </w:rPr>
        <w:t>1</w:t>
      </w:r>
      <w:r w:rsidRPr="00A34A91">
        <w:rPr>
          <w:rFonts w:ascii="Calibri" w:hAnsi="Calibri" w:cs="Calibri"/>
          <w:sz w:val="22"/>
          <w:szCs w:val="22"/>
        </w:rPr>
        <w:t xml:space="preserve"> is the MTFS 201</w:t>
      </w:r>
      <w:r w:rsidR="00A34A91" w:rsidRPr="00A34A91">
        <w:rPr>
          <w:rFonts w:ascii="Calibri" w:hAnsi="Calibri" w:cs="Calibri"/>
          <w:sz w:val="22"/>
          <w:szCs w:val="22"/>
        </w:rPr>
        <w:t>9</w:t>
      </w:r>
      <w:r w:rsidRPr="00A34A91">
        <w:rPr>
          <w:rFonts w:ascii="Calibri" w:hAnsi="Calibri" w:cs="Calibri"/>
          <w:sz w:val="22"/>
          <w:szCs w:val="22"/>
        </w:rPr>
        <w:t>-2</w:t>
      </w:r>
      <w:r w:rsidR="00A34A91" w:rsidRPr="00A34A91">
        <w:rPr>
          <w:rFonts w:ascii="Calibri" w:hAnsi="Calibri" w:cs="Calibri"/>
          <w:sz w:val="22"/>
          <w:szCs w:val="22"/>
        </w:rPr>
        <w:t>4</w:t>
      </w:r>
      <w:r w:rsidRPr="00A34A91">
        <w:rPr>
          <w:rFonts w:ascii="Calibri" w:hAnsi="Calibri" w:cs="Calibri"/>
          <w:sz w:val="22"/>
          <w:szCs w:val="22"/>
        </w:rPr>
        <w:t>. This was approved by Cabinet and Full Council in February 20</w:t>
      </w:r>
      <w:r w:rsidR="00A34A91" w:rsidRPr="00A34A91">
        <w:rPr>
          <w:rFonts w:ascii="Calibri" w:hAnsi="Calibri" w:cs="Calibri"/>
          <w:sz w:val="22"/>
          <w:szCs w:val="22"/>
        </w:rPr>
        <w:t>20</w:t>
      </w:r>
      <w:r w:rsidRPr="00A34A91">
        <w:rPr>
          <w:rFonts w:ascii="Calibri" w:hAnsi="Calibri" w:cs="Calibri"/>
          <w:sz w:val="22"/>
          <w:szCs w:val="22"/>
        </w:rPr>
        <w:t>.</w:t>
      </w:r>
    </w:p>
    <w:p w:rsidR="00253D21" w:rsidRPr="00A34A91" w:rsidRDefault="00253D21" w:rsidP="00253D21">
      <w:pPr>
        <w:spacing w:before="120" w:after="120"/>
        <w:jc w:val="both"/>
        <w:rPr>
          <w:rFonts w:ascii="Calibri" w:hAnsi="Calibri" w:cs="Calibri"/>
          <w:sz w:val="22"/>
          <w:szCs w:val="22"/>
        </w:rPr>
      </w:pPr>
      <w:r w:rsidRPr="00A34A91">
        <w:rPr>
          <w:rFonts w:ascii="Calibri" w:hAnsi="Calibri" w:cs="Calibri"/>
          <w:sz w:val="22"/>
          <w:szCs w:val="22"/>
        </w:rPr>
        <w:t xml:space="preserve"> The Revised Budget for 20</w:t>
      </w:r>
      <w:r w:rsidR="00A34A91" w:rsidRPr="00A34A91">
        <w:rPr>
          <w:rFonts w:ascii="Calibri" w:hAnsi="Calibri" w:cs="Calibri"/>
          <w:sz w:val="22"/>
          <w:szCs w:val="22"/>
        </w:rPr>
        <w:t>20</w:t>
      </w:r>
      <w:r w:rsidRPr="00A34A91">
        <w:rPr>
          <w:rFonts w:ascii="Calibri" w:hAnsi="Calibri" w:cs="Calibri"/>
          <w:sz w:val="22"/>
          <w:szCs w:val="22"/>
        </w:rPr>
        <w:t>/2</w:t>
      </w:r>
      <w:r w:rsidR="00A34A91" w:rsidRPr="00A34A91">
        <w:rPr>
          <w:rFonts w:ascii="Calibri" w:hAnsi="Calibri" w:cs="Calibri"/>
          <w:sz w:val="22"/>
          <w:szCs w:val="22"/>
        </w:rPr>
        <w:t>1</w:t>
      </w:r>
      <w:r w:rsidRPr="00A34A91">
        <w:rPr>
          <w:rFonts w:ascii="Calibri" w:hAnsi="Calibri" w:cs="Calibri"/>
          <w:sz w:val="22"/>
          <w:szCs w:val="22"/>
        </w:rPr>
        <w:t xml:space="preserve"> was approved by Full Council in February 202</w:t>
      </w:r>
      <w:r w:rsidR="00A34A91" w:rsidRPr="00A34A91">
        <w:rPr>
          <w:rFonts w:ascii="Calibri" w:hAnsi="Calibri" w:cs="Calibri"/>
          <w:sz w:val="22"/>
          <w:szCs w:val="22"/>
        </w:rPr>
        <w:t>1</w:t>
      </w:r>
      <w:r w:rsidRPr="00A34A91">
        <w:rPr>
          <w:rFonts w:ascii="Calibri" w:hAnsi="Calibri" w:cs="Calibri"/>
          <w:sz w:val="22"/>
          <w:szCs w:val="22"/>
        </w:rPr>
        <w:t xml:space="preserve"> as part of the MTFS for 20</w:t>
      </w:r>
      <w:r w:rsidR="00A34A91" w:rsidRPr="00A34A91">
        <w:rPr>
          <w:rFonts w:ascii="Calibri" w:hAnsi="Calibri" w:cs="Calibri"/>
          <w:sz w:val="22"/>
          <w:szCs w:val="22"/>
        </w:rPr>
        <w:t>20</w:t>
      </w:r>
      <w:r w:rsidRPr="00A34A91">
        <w:rPr>
          <w:rFonts w:ascii="Calibri" w:hAnsi="Calibri" w:cs="Calibri"/>
          <w:sz w:val="22"/>
          <w:szCs w:val="22"/>
        </w:rPr>
        <w:t>/2</w:t>
      </w:r>
      <w:r w:rsidR="00A34A91" w:rsidRPr="00A34A91">
        <w:rPr>
          <w:rFonts w:ascii="Calibri" w:hAnsi="Calibri" w:cs="Calibri"/>
          <w:sz w:val="22"/>
          <w:szCs w:val="22"/>
        </w:rPr>
        <w:t>1</w:t>
      </w:r>
      <w:r w:rsidRPr="00A34A91">
        <w:rPr>
          <w:rFonts w:ascii="Calibri" w:hAnsi="Calibri" w:cs="Calibri"/>
          <w:sz w:val="22"/>
          <w:szCs w:val="22"/>
        </w:rPr>
        <w:t>.</w:t>
      </w:r>
    </w:p>
    <w:p w:rsidR="00253D21" w:rsidRPr="00FB6582" w:rsidRDefault="00253D21" w:rsidP="00253D21">
      <w:pPr>
        <w:spacing w:before="120" w:after="120"/>
        <w:jc w:val="both"/>
        <w:rPr>
          <w:rFonts w:ascii="Calibri" w:hAnsi="Calibri" w:cs="Calibri"/>
          <w:sz w:val="22"/>
          <w:szCs w:val="22"/>
        </w:rPr>
      </w:pPr>
      <w:r w:rsidRPr="00A34A91">
        <w:rPr>
          <w:rFonts w:ascii="Calibri" w:hAnsi="Calibri" w:cs="Calibri"/>
          <w:sz w:val="22"/>
          <w:szCs w:val="22"/>
        </w:rPr>
        <w:t>The Council has a Capital Strategy which was approved In February 2019 by Full Council. The Capital Strategy provides a high level overview of how capital expenditure, capital financing and</w:t>
      </w:r>
      <w:r w:rsidRPr="00FB6582">
        <w:rPr>
          <w:rFonts w:ascii="Calibri" w:hAnsi="Calibri" w:cs="Calibri"/>
          <w:sz w:val="22"/>
          <w:szCs w:val="22"/>
        </w:rPr>
        <w:t xml:space="preserve"> treasury management activity contribute to the provision of services together with an overview of how associated risk is managed and the implications for future financial sustainability. It forms part of the Council’s integrated revenue, capital and balance sheet planning. It provides a framework for managing the Council’s capital programme.</w:t>
      </w:r>
    </w:p>
    <w:p w:rsidR="00253D21" w:rsidRPr="00A34A91" w:rsidRDefault="00253D21" w:rsidP="00253D21">
      <w:pPr>
        <w:spacing w:before="120" w:after="120"/>
        <w:jc w:val="both"/>
        <w:rPr>
          <w:rFonts w:ascii="Calibri" w:hAnsi="Calibri" w:cs="Calibri"/>
          <w:sz w:val="22"/>
          <w:szCs w:val="22"/>
        </w:rPr>
      </w:pPr>
      <w:r w:rsidRPr="00A34A91">
        <w:rPr>
          <w:rFonts w:ascii="Calibri" w:hAnsi="Calibri" w:cs="Calibri"/>
          <w:sz w:val="22"/>
          <w:szCs w:val="22"/>
        </w:rPr>
        <w:t>Lichfield District Council has a statutory duty to set a balanced budget in the first year of the five year MTFS, and to set out proposals to balance the further financial years 202</w:t>
      </w:r>
      <w:r w:rsidR="00A34A91" w:rsidRPr="00A34A91">
        <w:rPr>
          <w:rFonts w:ascii="Calibri" w:hAnsi="Calibri" w:cs="Calibri"/>
          <w:sz w:val="22"/>
          <w:szCs w:val="22"/>
        </w:rPr>
        <w:t>1</w:t>
      </w:r>
      <w:r w:rsidRPr="00A34A91">
        <w:rPr>
          <w:rFonts w:ascii="Calibri" w:hAnsi="Calibri" w:cs="Calibri"/>
          <w:sz w:val="22"/>
          <w:szCs w:val="22"/>
        </w:rPr>
        <w:t>-2</w:t>
      </w:r>
      <w:r w:rsidR="00A34A91" w:rsidRPr="00A34A91">
        <w:rPr>
          <w:rFonts w:ascii="Calibri" w:hAnsi="Calibri" w:cs="Calibri"/>
          <w:sz w:val="22"/>
          <w:szCs w:val="22"/>
        </w:rPr>
        <w:t>4</w:t>
      </w:r>
      <w:r w:rsidRPr="00A34A91">
        <w:rPr>
          <w:rFonts w:ascii="Calibri" w:hAnsi="Calibri" w:cs="Calibri"/>
          <w:sz w:val="22"/>
          <w:szCs w:val="22"/>
        </w:rPr>
        <w:t xml:space="preserve">. The Chief Finance Officer has a statutory duty to ensure that the figures provided for estimating and financial planning are robust and will stand up to audit scrutiny. The Council is also required to set Prudential Indicators for Capital Expenditure, financing and Treasury Management. </w:t>
      </w:r>
    </w:p>
    <w:p w:rsidR="00253D21" w:rsidRPr="00FB6582" w:rsidRDefault="00253D21" w:rsidP="00253D21">
      <w:pPr>
        <w:spacing w:before="120" w:after="120"/>
        <w:jc w:val="both"/>
        <w:rPr>
          <w:rFonts w:ascii="Calibri" w:hAnsi="Calibri" w:cs="Calibri"/>
          <w:sz w:val="22"/>
          <w:szCs w:val="22"/>
        </w:rPr>
      </w:pPr>
      <w:r w:rsidRPr="00FB6582">
        <w:rPr>
          <w:rFonts w:ascii="Calibri" w:hAnsi="Calibri" w:cs="Calibri"/>
          <w:sz w:val="22"/>
          <w:szCs w:val="22"/>
        </w:rPr>
        <w:t>Money Matters Reports are presented at three, six and eight month intervals to Cabinet and Briefing Notes to Overview and Scrutiny Committee, and financial projections are updated in these reports.</w:t>
      </w:r>
    </w:p>
    <w:p w:rsidR="00253D21" w:rsidRPr="00DC6BD4" w:rsidRDefault="00253D21" w:rsidP="00253D21">
      <w:pPr>
        <w:spacing w:before="120" w:after="120"/>
        <w:jc w:val="both"/>
        <w:rPr>
          <w:rFonts w:ascii="Calibri" w:hAnsi="Calibri" w:cs="Calibri"/>
          <w:sz w:val="22"/>
          <w:szCs w:val="22"/>
        </w:rPr>
      </w:pPr>
      <w:r w:rsidRPr="00DC6BD4">
        <w:rPr>
          <w:rFonts w:ascii="Calibri" w:hAnsi="Calibri" w:cs="Calibri"/>
          <w:sz w:val="22"/>
          <w:szCs w:val="22"/>
        </w:rPr>
        <w:t xml:space="preserve">Since 2013/14, there have been significant changes in local government finance ranging from the Localisation of Council Tax Support, wider welfare reforms and local retention of an element of Business Rates. These changes have introduced additional financial risks such as a major proportion of the Council’s funding being dependent on the level of Business Rates growth or decline. </w:t>
      </w:r>
    </w:p>
    <w:p w:rsidR="00253D21" w:rsidRPr="00DC6BD4" w:rsidRDefault="00253D21" w:rsidP="00253D21">
      <w:pPr>
        <w:spacing w:before="120" w:after="120"/>
        <w:jc w:val="both"/>
        <w:rPr>
          <w:rFonts w:ascii="Calibri" w:hAnsi="Calibri" w:cs="Calibri"/>
          <w:sz w:val="22"/>
          <w:szCs w:val="22"/>
        </w:rPr>
      </w:pPr>
      <w:r w:rsidRPr="00DC6BD4">
        <w:rPr>
          <w:rFonts w:ascii="Calibri" w:hAnsi="Calibri" w:cs="Calibri"/>
          <w:sz w:val="22"/>
          <w:szCs w:val="22"/>
        </w:rPr>
        <w:t>As a result of these ongoing changes, the Council has implemented plans and strategies to manage these financial risks, for example the Fit for the Future Programme introduced in May 2013</w:t>
      </w:r>
      <w:r w:rsidR="00DC6BD4">
        <w:rPr>
          <w:rFonts w:ascii="Calibri" w:hAnsi="Calibri" w:cs="Calibri"/>
          <w:sz w:val="22"/>
          <w:szCs w:val="22"/>
        </w:rPr>
        <w:t xml:space="preserve"> and which ran until 2020.</w:t>
      </w:r>
      <w:r w:rsidRPr="00DC6BD4">
        <w:rPr>
          <w:rFonts w:ascii="Calibri" w:hAnsi="Calibri" w:cs="Calibri"/>
          <w:sz w:val="22"/>
          <w:szCs w:val="22"/>
        </w:rPr>
        <w:t xml:space="preserve"> This transformation programme has been used to manage the change needed across the Council and its services in order to meet the challenges facing local government finances and to bridge the predicted revenue funding gap. </w:t>
      </w:r>
    </w:p>
    <w:p w:rsidR="00253D21" w:rsidRDefault="00253D21" w:rsidP="00253D21">
      <w:pPr>
        <w:spacing w:before="120" w:after="120"/>
        <w:jc w:val="both"/>
        <w:rPr>
          <w:rFonts w:ascii="Calibri" w:hAnsi="Calibri"/>
          <w:sz w:val="22"/>
          <w:szCs w:val="22"/>
        </w:rPr>
      </w:pPr>
      <w:r w:rsidRPr="00DC6BD4">
        <w:rPr>
          <w:rFonts w:ascii="Calibri" w:hAnsi="Calibri" w:cs="Calibri"/>
          <w:sz w:val="22"/>
          <w:szCs w:val="22"/>
        </w:rPr>
        <w:t>Since its introduction the Programme has helped to identify a range of service improvements and deliver significant savings through a range of measures, including reductions in non-priority areas, changes</w:t>
      </w:r>
      <w:r w:rsidRPr="00DC6BD4">
        <w:rPr>
          <w:rFonts w:ascii="Calibri" w:eastAsia="Calibri" w:hAnsi="Calibri"/>
          <w:sz w:val="22"/>
          <w:szCs w:val="22"/>
        </w:rPr>
        <w:t xml:space="preserve"> to service standards, transferring assets and introducing or increasing charges for some </w:t>
      </w:r>
      <w:r w:rsidRPr="00DC6BD4">
        <w:rPr>
          <w:rFonts w:ascii="Calibri" w:eastAsia="Calibri" w:hAnsi="Calibri"/>
          <w:sz w:val="22"/>
          <w:szCs w:val="22"/>
        </w:rPr>
        <w:lastRenderedPageBreak/>
        <w:t xml:space="preserve">services. It has also </w:t>
      </w:r>
      <w:r w:rsidRPr="00DC6BD4">
        <w:rPr>
          <w:rFonts w:ascii="Calibri" w:hAnsi="Calibri"/>
          <w:sz w:val="22"/>
          <w:szCs w:val="22"/>
        </w:rPr>
        <w:t>supported the delivery of the outcomes described within the Strategic Plan 2016-20 and helped to prepare for the 2020-24 Strategic Plan.</w:t>
      </w:r>
    </w:p>
    <w:p w:rsidR="00253D21" w:rsidRPr="00B85E73" w:rsidRDefault="00253D21" w:rsidP="00253D21">
      <w:pPr>
        <w:widowControl w:val="0"/>
        <w:pBdr>
          <w:top w:val="single" w:sz="4" w:space="1" w:color="auto"/>
          <w:left w:val="single" w:sz="4" w:space="4" w:color="auto"/>
          <w:bottom w:val="single" w:sz="4" w:space="1" w:color="auto"/>
          <w:right w:val="single" w:sz="4" w:space="4" w:color="auto"/>
        </w:pBdr>
        <w:shd w:val="clear" w:color="auto" w:fill="CAB8F6"/>
        <w:spacing w:after="242" w:line="246" w:lineRule="exact"/>
        <w:ind w:left="567" w:hanging="567"/>
        <w:jc w:val="both"/>
        <w:rPr>
          <w:rFonts w:ascii="Calibri" w:eastAsia="Arial" w:hAnsi="Calibri" w:cs="Arial"/>
          <w:b/>
          <w:bCs/>
          <w:sz w:val="22"/>
          <w:szCs w:val="22"/>
          <w:lang w:eastAsia="en-GB"/>
        </w:rPr>
      </w:pPr>
      <w:r w:rsidRPr="00B85E73">
        <w:rPr>
          <w:rFonts w:ascii="Calibri" w:eastAsia="Arial" w:hAnsi="Calibri" w:cs="Arial"/>
          <w:b/>
          <w:bCs/>
          <w:sz w:val="22"/>
          <w:szCs w:val="22"/>
          <w:lang w:eastAsia="en-GB"/>
        </w:rPr>
        <w:t>E</w:t>
      </w:r>
      <w:r w:rsidRPr="00B85E73">
        <w:rPr>
          <w:rFonts w:ascii="Calibri" w:eastAsia="Arial" w:hAnsi="Calibri" w:cs="Arial"/>
          <w:b/>
          <w:bCs/>
          <w:sz w:val="22"/>
          <w:szCs w:val="22"/>
          <w:lang w:eastAsia="en-GB"/>
        </w:rPr>
        <w:tab/>
        <w:t>Developing the Entity’s Capacity, Including the Capacity of its Leadership and the Individuals Within it</w:t>
      </w:r>
    </w:p>
    <w:p w:rsidR="00253D21" w:rsidRPr="00B65813" w:rsidRDefault="00253D21" w:rsidP="00253D21">
      <w:pPr>
        <w:spacing w:before="120" w:after="120"/>
        <w:jc w:val="both"/>
        <w:rPr>
          <w:rFonts w:ascii="Calibri" w:hAnsi="Calibri" w:cs="Calibri"/>
          <w:sz w:val="22"/>
          <w:szCs w:val="22"/>
        </w:rPr>
      </w:pPr>
      <w:r w:rsidRPr="00FB6582">
        <w:rPr>
          <w:rFonts w:ascii="Calibri" w:hAnsi="Calibri" w:cs="Calibri"/>
          <w:sz w:val="22"/>
          <w:szCs w:val="22"/>
        </w:rPr>
        <w:t xml:space="preserve">The Council has a Constitution which can be found on our website. This sets out how the Council legally operates, how formal decisions are made and the procedures which are followed to ensure that these are efficient, transparent and accountable to local people. The Constitution went through a thorough review during 2017/18 in order to reflect recent changes in legislation and also to make it easier to navigate. As a result an updated Constitution was approved </w:t>
      </w:r>
      <w:r w:rsidRPr="00B65813">
        <w:rPr>
          <w:rFonts w:ascii="Calibri" w:hAnsi="Calibri" w:cs="Calibri"/>
          <w:sz w:val="22"/>
          <w:szCs w:val="22"/>
        </w:rPr>
        <w:t xml:space="preserve">by Full Council in May 2018. </w:t>
      </w:r>
    </w:p>
    <w:p w:rsidR="00253D21" w:rsidRPr="00B65813" w:rsidRDefault="00253D21" w:rsidP="00253D21">
      <w:pPr>
        <w:spacing w:before="120" w:after="120"/>
        <w:jc w:val="both"/>
        <w:rPr>
          <w:rFonts w:ascii="Calibri" w:hAnsi="Calibri" w:cs="Arial"/>
          <w:sz w:val="22"/>
          <w:szCs w:val="22"/>
        </w:rPr>
      </w:pPr>
      <w:r w:rsidRPr="00B65813">
        <w:rPr>
          <w:rFonts w:ascii="Calibri" w:hAnsi="Calibri" w:cs="Arial"/>
          <w:sz w:val="22"/>
          <w:szCs w:val="22"/>
        </w:rPr>
        <w:t>The document identifies the roles and responsibilities of Member and officer functions, with clear delegation arrangements and protocols for decision making and communication. For example, the statutory roles for the Head of Paid Service, the Chief Financial Officer (Section 151 Officer) and the Monitoring Officer. Reference is made to the scrutiny role of the Opposition</w:t>
      </w:r>
      <w:r w:rsidR="00B27DD8">
        <w:rPr>
          <w:rFonts w:ascii="Calibri" w:hAnsi="Calibri" w:cs="Arial"/>
          <w:sz w:val="22"/>
          <w:szCs w:val="22"/>
        </w:rPr>
        <w:t>.</w:t>
      </w:r>
      <w:r w:rsidRPr="00B65813">
        <w:rPr>
          <w:rFonts w:ascii="Calibri" w:hAnsi="Calibri" w:cs="Arial"/>
          <w:sz w:val="22"/>
          <w:szCs w:val="22"/>
        </w:rPr>
        <w:t xml:space="preserve"> The Constitution also contains the protocol for officer/Member relations. This is reviewed and amended on a regular basis.</w:t>
      </w:r>
    </w:p>
    <w:p w:rsidR="00253D21" w:rsidRPr="00B65813" w:rsidRDefault="00253D21" w:rsidP="00253D21">
      <w:pPr>
        <w:spacing w:before="120" w:after="120"/>
        <w:jc w:val="both"/>
        <w:rPr>
          <w:rFonts w:ascii="Calibri" w:hAnsi="Calibri" w:cs="Arial"/>
          <w:color w:val="000000"/>
          <w:sz w:val="22"/>
          <w:szCs w:val="22"/>
        </w:rPr>
      </w:pPr>
      <w:r w:rsidRPr="00B65813">
        <w:rPr>
          <w:rFonts w:ascii="Calibri" w:hAnsi="Calibri" w:cs="Arial"/>
          <w:sz w:val="22"/>
          <w:szCs w:val="22"/>
        </w:rPr>
        <w:t xml:space="preserve">The Council’s Constitution is updated as and when changes are needed to be made with the </w:t>
      </w:r>
      <w:r w:rsidRPr="00B65813">
        <w:rPr>
          <w:rFonts w:ascii="Calibri" w:eastAsia="Calibri" w:hAnsi="Calibri" w:cs="Calibri"/>
          <w:color w:val="000000"/>
          <w:sz w:val="22"/>
          <w:szCs w:val="22"/>
        </w:rPr>
        <w:t xml:space="preserve">Cabinet Member for Legal </w:t>
      </w:r>
      <w:r w:rsidR="00781C76">
        <w:rPr>
          <w:rFonts w:ascii="Calibri" w:eastAsia="Calibri" w:hAnsi="Calibri" w:cs="Calibri"/>
          <w:color w:val="000000"/>
          <w:sz w:val="22"/>
          <w:szCs w:val="22"/>
        </w:rPr>
        <w:t>and</w:t>
      </w:r>
      <w:r w:rsidRPr="00B65813">
        <w:rPr>
          <w:rFonts w:ascii="Calibri" w:eastAsia="Calibri" w:hAnsi="Calibri" w:cs="Calibri"/>
          <w:color w:val="000000"/>
          <w:sz w:val="22"/>
          <w:szCs w:val="22"/>
        </w:rPr>
        <w:t xml:space="preserve"> Regulatory</w:t>
      </w:r>
      <w:r w:rsidRPr="00B65813">
        <w:rPr>
          <w:rFonts w:ascii="Calibri" w:hAnsi="Calibri" w:cs="Arial"/>
          <w:color w:val="000000"/>
          <w:sz w:val="22"/>
          <w:szCs w:val="22"/>
        </w:rPr>
        <w:t xml:space="preserve"> submitting recommendations to Full Council. </w:t>
      </w:r>
    </w:p>
    <w:p w:rsidR="00253D21" w:rsidRPr="001D30A1" w:rsidRDefault="00253D21" w:rsidP="00253D21">
      <w:pPr>
        <w:spacing w:before="120" w:after="120"/>
        <w:jc w:val="both"/>
        <w:rPr>
          <w:rFonts w:ascii="Calibri" w:hAnsi="Calibri" w:cs="Arial"/>
          <w:sz w:val="22"/>
          <w:szCs w:val="22"/>
        </w:rPr>
      </w:pPr>
      <w:r w:rsidRPr="00B65813">
        <w:rPr>
          <w:rFonts w:ascii="Calibri" w:hAnsi="Calibri" w:cs="Arial"/>
          <w:sz w:val="22"/>
          <w:szCs w:val="22"/>
        </w:rPr>
        <w:t xml:space="preserve">The Council has a training plan for Members which is developed and monitored by the Employment </w:t>
      </w:r>
      <w:r w:rsidRPr="001D30A1">
        <w:rPr>
          <w:rFonts w:ascii="Calibri" w:hAnsi="Calibri" w:cs="Arial"/>
          <w:sz w:val="22"/>
          <w:szCs w:val="22"/>
        </w:rPr>
        <w:t>Committee. The number of training events during 20</w:t>
      </w:r>
      <w:r w:rsidR="009A0BFA" w:rsidRPr="001D30A1">
        <w:rPr>
          <w:rFonts w:ascii="Calibri" w:hAnsi="Calibri" w:cs="Arial"/>
          <w:sz w:val="22"/>
          <w:szCs w:val="22"/>
        </w:rPr>
        <w:t>20</w:t>
      </w:r>
      <w:r w:rsidRPr="001D30A1">
        <w:rPr>
          <w:rFonts w:ascii="Calibri" w:hAnsi="Calibri" w:cs="Arial"/>
          <w:sz w:val="22"/>
          <w:szCs w:val="22"/>
        </w:rPr>
        <w:t>/2</w:t>
      </w:r>
      <w:r w:rsidR="009A0BFA" w:rsidRPr="001D30A1">
        <w:rPr>
          <w:rFonts w:ascii="Calibri" w:hAnsi="Calibri" w:cs="Arial"/>
          <w:sz w:val="22"/>
          <w:szCs w:val="22"/>
        </w:rPr>
        <w:t>1</w:t>
      </w:r>
      <w:r w:rsidRPr="001D30A1">
        <w:rPr>
          <w:rFonts w:ascii="Calibri" w:hAnsi="Calibri" w:cs="Arial"/>
          <w:sz w:val="22"/>
          <w:szCs w:val="22"/>
        </w:rPr>
        <w:t xml:space="preserve"> compared with 201</w:t>
      </w:r>
      <w:r w:rsidR="009A0BFA" w:rsidRPr="001D30A1">
        <w:rPr>
          <w:rFonts w:ascii="Calibri" w:hAnsi="Calibri" w:cs="Arial"/>
          <w:sz w:val="22"/>
          <w:szCs w:val="22"/>
        </w:rPr>
        <w:t>9</w:t>
      </w:r>
      <w:r w:rsidRPr="001D30A1">
        <w:rPr>
          <w:rFonts w:ascii="Calibri" w:hAnsi="Calibri" w:cs="Arial"/>
          <w:sz w:val="22"/>
          <w:szCs w:val="22"/>
        </w:rPr>
        <w:t>/</w:t>
      </w:r>
      <w:r w:rsidR="009A0BFA" w:rsidRPr="001D30A1">
        <w:rPr>
          <w:rFonts w:ascii="Calibri" w:hAnsi="Calibri" w:cs="Arial"/>
          <w:sz w:val="22"/>
          <w:szCs w:val="22"/>
        </w:rPr>
        <w:t>20</w:t>
      </w:r>
      <w:r w:rsidRPr="001D30A1">
        <w:rPr>
          <w:rFonts w:ascii="Calibri" w:hAnsi="Calibri" w:cs="Arial"/>
          <w:sz w:val="22"/>
          <w:szCs w:val="22"/>
        </w:rPr>
        <w:t xml:space="preserve"> is shown below:</w:t>
      </w:r>
    </w:p>
    <w:tbl>
      <w:tblPr>
        <w:tblStyle w:val="TableGrid1"/>
        <w:tblW w:w="0" w:type="auto"/>
        <w:tblLayout w:type="fixed"/>
        <w:tblLook w:val="04A0" w:firstRow="1" w:lastRow="0" w:firstColumn="1" w:lastColumn="0" w:noHBand="0" w:noVBand="1"/>
      </w:tblPr>
      <w:tblGrid>
        <w:gridCol w:w="2830"/>
        <w:gridCol w:w="1843"/>
        <w:gridCol w:w="992"/>
        <w:gridCol w:w="1090"/>
        <w:gridCol w:w="904"/>
      </w:tblGrid>
      <w:tr w:rsidR="00253D21" w:rsidRPr="007F5415" w:rsidTr="003247EA">
        <w:tc>
          <w:tcPr>
            <w:tcW w:w="2830" w:type="dxa"/>
            <w:vMerge w:val="restart"/>
          </w:tcPr>
          <w:p w:rsidR="00253D21" w:rsidRPr="007F5415" w:rsidRDefault="00253D21" w:rsidP="003247EA">
            <w:pPr>
              <w:rPr>
                <w:rFonts w:ascii="Calibri" w:hAnsi="Calibri"/>
                <w:sz w:val="22"/>
                <w:szCs w:val="22"/>
                <w:highlight w:val="yellow"/>
              </w:rPr>
            </w:pPr>
            <w:r w:rsidRPr="007F5415">
              <w:rPr>
                <w:rFonts w:ascii="Calibri" w:hAnsi="Calibri"/>
                <w:noProof/>
                <w:sz w:val="22"/>
                <w:szCs w:val="22"/>
                <w:highlight w:val="yellow"/>
                <w:lang w:eastAsia="en-GB"/>
              </w:rPr>
              <w:drawing>
                <wp:inline distT="0" distB="0" distL="0" distR="0" wp14:anchorId="7CEC03F6" wp14:editId="0560F5FF">
                  <wp:extent cx="1659890" cy="14795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59890" cy="1479550"/>
                          </a:xfrm>
                          <a:prstGeom prst="rect">
                            <a:avLst/>
                          </a:prstGeom>
                        </pic:spPr>
                      </pic:pic>
                    </a:graphicData>
                  </a:graphic>
                </wp:inline>
              </w:drawing>
            </w:r>
          </w:p>
        </w:tc>
        <w:tc>
          <w:tcPr>
            <w:tcW w:w="1843" w:type="dxa"/>
            <w:tcBorders>
              <w:bottom w:val="single" w:sz="4" w:space="0" w:color="auto"/>
            </w:tcBorders>
          </w:tcPr>
          <w:p w:rsidR="00253D21" w:rsidRPr="009A0BFA" w:rsidRDefault="00253D21" w:rsidP="003247EA">
            <w:pPr>
              <w:jc w:val="center"/>
              <w:rPr>
                <w:rFonts w:ascii="Calibri" w:hAnsi="Calibri"/>
                <w:b/>
                <w:sz w:val="22"/>
                <w:szCs w:val="22"/>
              </w:rPr>
            </w:pPr>
            <w:r w:rsidRPr="009A0BFA">
              <w:rPr>
                <w:rFonts w:ascii="Calibri" w:hAnsi="Calibri"/>
                <w:b/>
                <w:sz w:val="22"/>
                <w:szCs w:val="22"/>
              </w:rPr>
              <w:t>Area</w:t>
            </w:r>
          </w:p>
        </w:tc>
        <w:tc>
          <w:tcPr>
            <w:tcW w:w="992" w:type="dxa"/>
            <w:tcBorders>
              <w:bottom w:val="single" w:sz="4" w:space="0" w:color="auto"/>
            </w:tcBorders>
            <w:shd w:val="clear" w:color="auto" w:fill="F7CAAC"/>
          </w:tcPr>
          <w:p w:rsidR="00253D21" w:rsidRPr="009A0BFA" w:rsidRDefault="00253D21" w:rsidP="009A0BFA">
            <w:pPr>
              <w:jc w:val="center"/>
              <w:rPr>
                <w:rFonts w:ascii="Calibri" w:hAnsi="Calibri"/>
                <w:b/>
                <w:sz w:val="22"/>
                <w:szCs w:val="22"/>
              </w:rPr>
            </w:pPr>
            <w:r w:rsidRPr="009A0BFA">
              <w:rPr>
                <w:rFonts w:ascii="Calibri" w:hAnsi="Calibri"/>
                <w:b/>
                <w:sz w:val="22"/>
                <w:szCs w:val="22"/>
              </w:rPr>
              <w:t>201</w:t>
            </w:r>
            <w:r w:rsidR="009A0BFA" w:rsidRPr="009A0BFA">
              <w:rPr>
                <w:rFonts w:ascii="Calibri" w:hAnsi="Calibri"/>
                <w:b/>
                <w:sz w:val="22"/>
                <w:szCs w:val="22"/>
              </w:rPr>
              <w:t>9</w:t>
            </w:r>
            <w:r w:rsidRPr="009A0BFA">
              <w:rPr>
                <w:rFonts w:ascii="Calibri" w:hAnsi="Calibri"/>
                <w:b/>
                <w:sz w:val="22"/>
                <w:szCs w:val="22"/>
              </w:rPr>
              <w:t>/</w:t>
            </w:r>
            <w:r w:rsidR="009A0BFA" w:rsidRPr="009A0BFA">
              <w:rPr>
                <w:rFonts w:ascii="Calibri" w:hAnsi="Calibri"/>
                <w:b/>
                <w:sz w:val="22"/>
                <w:szCs w:val="22"/>
              </w:rPr>
              <w:t>20</w:t>
            </w:r>
          </w:p>
        </w:tc>
        <w:tc>
          <w:tcPr>
            <w:tcW w:w="1090" w:type="dxa"/>
            <w:tcBorders>
              <w:bottom w:val="single" w:sz="4" w:space="0" w:color="auto"/>
            </w:tcBorders>
            <w:shd w:val="clear" w:color="auto" w:fill="C5E0B3"/>
          </w:tcPr>
          <w:p w:rsidR="00253D21" w:rsidRPr="001D30A1" w:rsidRDefault="00253D21" w:rsidP="009A0BFA">
            <w:pPr>
              <w:jc w:val="center"/>
              <w:rPr>
                <w:rFonts w:ascii="Calibri" w:hAnsi="Calibri"/>
                <w:b/>
                <w:sz w:val="22"/>
                <w:szCs w:val="22"/>
              </w:rPr>
            </w:pPr>
            <w:r w:rsidRPr="001D30A1">
              <w:rPr>
                <w:rFonts w:ascii="Calibri" w:hAnsi="Calibri"/>
                <w:b/>
                <w:sz w:val="22"/>
                <w:szCs w:val="22"/>
              </w:rPr>
              <w:t>20</w:t>
            </w:r>
            <w:r w:rsidR="009A0BFA" w:rsidRPr="001D30A1">
              <w:rPr>
                <w:rFonts w:ascii="Calibri" w:hAnsi="Calibri"/>
                <w:b/>
                <w:sz w:val="22"/>
                <w:szCs w:val="22"/>
              </w:rPr>
              <w:t>20</w:t>
            </w:r>
            <w:r w:rsidRPr="001D30A1">
              <w:rPr>
                <w:rFonts w:ascii="Calibri" w:hAnsi="Calibri"/>
                <w:b/>
                <w:sz w:val="22"/>
                <w:szCs w:val="22"/>
              </w:rPr>
              <w:t>/2</w:t>
            </w:r>
            <w:r w:rsidR="009A0BFA" w:rsidRPr="001D30A1">
              <w:rPr>
                <w:rFonts w:ascii="Calibri" w:hAnsi="Calibri"/>
                <w:b/>
                <w:sz w:val="22"/>
                <w:szCs w:val="22"/>
              </w:rPr>
              <w:t>1</w:t>
            </w:r>
          </w:p>
        </w:tc>
        <w:tc>
          <w:tcPr>
            <w:tcW w:w="904" w:type="dxa"/>
            <w:tcBorders>
              <w:bottom w:val="single" w:sz="4" w:space="0" w:color="auto"/>
            </w:tcBorders>
          </w:tcPr>
          <w:p w:rsidR="00253D21" w:rsidRPr="001D30A1" w:rsidRDefault="00253D21" w:rsidP="003247EA">
            <w:pPr>
              <w:jc w:val="center"/>
              <w:rPr>
                <w:rFonts w:ascii="Calibri" w:hAnsi="Calibri"/>
                <w:b/>
                <w:sz w:val="22"/>
                <w:szCs w:val="22"/>
              </w:rPr>
            </w:pPr>
            <w:r w:rsidRPr="001D30A1">
              <w:rPr>
                <w:rFonts w:ascii="Calibri" w:hAnsi="Calibri"/>
                <w:b/>
                <w:sz w:val="22"/>
                <w:szCs w:val="22"/>
              </w:rPr>
              <w:t>Trend</w:t>
            </w:r>
          </w:p>
        </w:tc>
      </w:tr>
      <w:tr w:rsidR="00253D21" w:rsidRPr="007F5415" w:rsidTr="003247EA">
        <w:trPr>
          <w:trHeight w:val="2038"/>
        </w:trPr>
        <w:tc>
          <w:tcPr>
            <w:tcW w:w="2830" w:type="dxa"/>
            <w:vMerge/>
          </w:tcPr>
          <w:p w:rsidR="00253D21" w:rsidRPr="007F5415" w:rsidRDefault="00253D21" w:rsidP="003247EA">
            <w:pPr>
              <w:rPr>
                <w:rFonts w:ascii="Calibri" w:hAnsi="Calibri"/>
                <w:sz w:val="22"/>
                <w:szCs w:val="22"/>
                <w:highlight w:val="yellow"/>
              </w:rPr>
            </w:pPr>
          </w:p>
        </w:tc>
        <w:tc>
          <w:tcPr>
            <w:tcW w:w="1843" w:type="dxa"/>
            <w:vAlign w:val="center"/>
          </w:tcPr>
          <w:p w:rsidR="00253D21" w:rsidRPr="009A0BFA" w:rsidRDefault="00253D21" w:rsidP="003247EA">
            <w:pPr>
              <w:rPr>
                <w:rFonts w:ascii="Calibri" w:hAnsi="Calibri"/>
                <w:b/>
                <w:sz w:val="22"/>
                <w:szCs w:val="22"/>
              </w:rPr>
            </w:pPr>
            <w:r w:rsidRPr="009A0BFA">
              <w:rPr>
                <w:rFonts w:ascii="Calibri" w:hAnsi="Calibri"/>
                <w:b/>
                <w:sz w:val="22"/>
                <w:szCs w:val="22"/>
              </w:rPr>
              <w:t>Member Training Events</w:t>
            </w:r>
          </w:p>
        </w:tc>
        <w:tc>
          <w:tcPr>
            <w:tcW w:w="992" w:type="dxa"/>
            <w:shd w:val="clear" w:color="auto" w:fill="F7CAAC"/>
            <w:vAlign w:val="center"/>
          </w:tcPr>
          <w:p w:rsidR="00253D21" w:rsidRPr="009A0BFA" w:rsidRDefault="009A0BFA" w:rsidP="003247EA">
            <w:pPr>
              <w:jc w:val="right"/>
              <w:rPr>
                <w:rFonts w:ascii="Calibri" w:hAnsi="Calibri"/>
                <w:b/>
                <w:sz w:val="22"/>
                <w:szCs w:val="22"/>
              </w:rPr>
            </w:pPr>
            <w:r w:rsidRPr="009A0BFA">
              <w:rPr>
                <w:rFonts w:ascii="Calibri" w:hAnsi="Calibri"/>
                <w:b/>
                <w:sz w:val="22"/>
                <w:szCs w:val="22"/>
              </w:rPr>
              <w:t>15</w:t>
            </w:r>
          </w:p>
        </w:tc>
        <w:tc>
          <w:tcPr>
            <w:tcW w:w="1090" w:type="dxa"/>
            <w:shd w:val="clear" w:color="auto" w:fill="C5E0B3"/>
            <w:vAlign w:val="center"/>
          </w:tcPr>
          <w:p w:rsidR="00253D21" w:rsidRPr="001D30A1" w:rsidRDefault="001D30A1" w:rsidP="003247EA">
            <w:pPr>
              <w:jc w:val="right"/>
              <w:rPr>
                <w:rFonts w:ascii="Calibri" w:hAnsi="Calibri"/>
                <w:b/>
                <w:sz w:val="22"/>
                <w:szCs w:val="22"/>
              </w:rPr>
            </w:pPr>
            <w:r>
              <w:rPr>
                <w:rFonts w:ascii="Calibri" w:hAnsi="Calibri"/>
                <w:b/>
                <w:sz w:val="22"/>
                <w:szCs w:val="22"/>
              </w:rPr>
              <w:t>6</w:t>
            </w:r>
          </w:p>
        </w:tc>
        <w:tc>
          <w:tcPr>
            <w:tcW w:w="904" w:type="dxa"/>
            <w:vAlign w:val="center"/>
          </w:tcPr>
          <w:p w:rsidR="00253D21" w:rsidRPr="001D30A1" w:rsidRDefault="001D30A1" w:rsidP="003247EA">
            <w:pPr>
              <w:jc w:val="center"/>
              <w:rPr>
                <w:rFonts w:ascii="Calibri" w:hAnsi="Calibri"/>
                <w:b/>
                <w:sz w:val="22"/>
                <w:szCs w:val="22"/>
              </w:rPr>
            </w:pPr>
            <w:r w:rsidRPr="001D30A1">
              <w:rPr>
                <w:rFonts w:cs="Arial"/>
                <w:noProof/>
                <w:color w:val="FFFFFF"/>
                <w:sz w:val="20"/>
                <w:szCs w:val="20"/>
                <w:lang w:eastAsia="en-GB"/>
              </w:rPr>
              <w:drawing>
                <wp:inline distT="0" distB="0" distL="0" distR="0" wp14:anchorId="7CA06FB9" wp14:editId="31EB07C4">
                  <wp:extent cx="409575" cy="371475"/>
                  <wp:effectExtent l="0" t="0" r="9525" b="9525"/>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09575" cy="371475"/>
                          </a:xfrm>
                          <a:prstGeom prst="rect">
                            <a:avLst/>
                          </a:prstGeom>
                          <a:noFill/>
                          <a:ln>
                            <a:noFill/>
                          </a:ln>
                        </pic:spPr>
                      </pic:pic>
                    </a:graphicData>
                  </a:graphic>
                </wp:inline>
              </w:drawing>
            </w:r>
          </w:p>
        </w:tc>
      </w:tr>
    </w:tbl>
    <w:p w:rsidR="008F7CE4" w:rsidRPr="009F48B7" w:rsidRDefault="00253D21" w:rsidP="008F7CE4">
      <w:pPr>
        <w:spacing w:before="120" w:after="120"/>
        <w:jc w:val="both"/>
        <w:rPr>
          <w:rFonts w:ascii="Calibri" w:hAnsi="Calibri" w:cs="Arial"/>
          <w:sz w:val="22"/>
          <w:szCs w:val="22"/>
        </w:rPr>
      </w:pPr>
      <w:r w:rsidRPr="001D30A1">
        <w:rPr>
          <w:rFonts w:ascii="Calibri" w:hAnsi="Calibri" w:cs="Arial"/>
          <w:sz w:val="22"/>
          <w:szCs w:val="22"/>
        </w:rPr>
        <w:t>The areas covered included safeguarding, planning</w:t>
      </w:r>
      <w:r w:rsidR="001D30A1" w:rsidRPr="001D30A1">
        <w:rPr>
          <w:rFonts w:ascii="Calibri" w:hAnsi="Calibri" w:cs="Arial"/>
          <w:sz w:val="22"/>
          <w:szCs w:val="22"/>
        </w:rPr>
        <w:t xml:space="preserve"> enforcement</w:t>
      </w:r>
      <w:r w:rsidRPr="001D30A1">
        <w:rPr>
          <w:rFonts w:ascii="Calibri" w:hAnsi="Calibri" w:cs="Arial"/>
          <w:sz w:val="22"/>
          <w:szCs w:val="22"/>
        </w:rPr>
        <w:t xml:space="preserve">, </w:t>
      </w:r>
      <w:r w:rsidR="001D30A1" w:rsidRPr="001D30A1">
        <w:rPr>
          <w:rFonts w:ascii="Calibri" w:hAnsi="Calibri" w:cs="Arial"/>
          <w:sz w:val="22"/>
          <w:szCs w:val="22"/>
        </w:rPr>
        <w:t xml:space="preserve">Code of Conduct and governance, the local plan, press and social media, </w:t>
      </w:r>
      <w:r w:rsidRPr="001D30A1">
        <w:rPr>
          <w:rFonts w:ascii="Calibri" w:hAnsi="Calibri" w:cs="Arial"/>
          <w:sz w:val="22"/>
          <w:szCs w:val="22"/>
        </w:rPr>
        <w:t xml:space="preserve">and equality and diversity. </w:t>
      </w:r>
      <w:r w:rsidR="001D30A1">
        <w:rPr>
          <w:rFonts w:ascii="Calibri" w:hAnsi="Calibri" w:cs="Arial"/>
          <w:sz w:val="22"/>
          <w:szCs w:val="22"/>
        </w:rPr>
        <w:t>The pressures of C</w:t>
      </w:r>
      <w:r w:rsidR="0020097A">
        <w:rPr>
          <w:rFonts w:ascii="Calibri" w:hAnsi="Calibri" w:cs="Arial"/>
          <w:sz w:val="22"/>
          <w:szCs w:val="22"/>
        </w:rPr>
        <w:t>ovid</w:t>
      </w:r>
      <w:r w:rsidR="001D30A1">
        <w:rPr>
          <w:rFonts w:ascii="Calibri" w:hAnsi="Calibri" w:cs="Arial"/>
          <w:sz w:val="22"/>
          <w:szCs w:val="22"/>
        </w:rPr>
        <w:t xml:space="preserve">-19 </w:t>
      </w:r>
      <w:r w:rsidR="001D30A1" w:rsidRPr="009F48B7">
        <w:rPr>
          <w:rFonts w:ascii="Calibri" w:hAnsi="Calibri" w:cs="Arial"/>
          <w:sz w:val="22"/>
          <w:szCs w:val="22"/>
        </w:rPr>
        <w:t>contributed to fewer sessions during 2020/21</w:t>
      </w:r>
      <w:r w:rsidR="008F7CE4" w:rsidRPr="009F48B7">
        <w:rPr>
          <w:rFonts w:ascii="Calibri" w:hAnsi="Calibri" w:cs="Arial"/>
          <w:sz w:val="22"/>
          <w:szCs w:val="22"/>
        </w:rPr>
        <w:t xml:space="preserve">, although there would normally only be around </w:t>
      </w:r>
      <w:r w:rsidR="008F7CE4" w:rsidRPr="009F48B7">
        <w:rPr>
          <w:rFonts w:ascii="Calibri" w:hAnsi="Calibri" w:cs="Arial"/>
          <w:b/>
          <w:sz w:val="22"/>
          <w:szCs w:val="22"/>
        </w:rPr>
        <w:t>8</w:t>
      </w:r>
      <w:r w:rsidR="008F7CE4" w:rsidRPr="009F48B7">
        <w:rPr>
          <w:rFonts w:ascii="Calibri" w:hAnsi="Calibri" w:cs="Arial"/>
          <w:sz w:val="22"/>
          <w:szCs w:val="22"/>
        </w:rPr>
        <w:t xml:space="preserve"> or so training sessions in a normal Council year. </w:t>
      </w:r>
    </w:p>
    <w:p w:rsidR="008F7CE4" w:rsidRPr="009F48B7" w:rsidRDefault="008F7CE4" w:rsidP="008F7CE4">
      <w:pPr>
        <w:spacing w:before="120" w:after="120"/>
        <w:jc w:val="both"/>
        <w:rPr>
          <w:rFonts w:ascii="Calibri" w:hAnsi="Calibri" w:cs="Arial"/>
          <w:sz w:val="22"/>
          <w:szCs w:val="22"/>
        </w:rPr>
      </w:pPr>
      <w:r w:rsidRPr="009F48B7">
        <w:rPr>
          <w:rFonts w:ascii="Calibri" w:hAnsi="Calibri" w:cs="Arial"/>
          <w:sz w:val="22"/>
          <w:szCs w:val="22"/>
        </w:rPr>
        <w:t>In 2019/20, training included the induction of all new members and committees that would only be held once per Council term, making this year’s figures exceptionally high. Member training has become a key issue as a result of the review of committees, which highlighted the importance of having informed and well-trained members and chairs. Future reports will examine the impact of training on member performance and this will be captured after each training session going forward.</w:t>
      </w:r>
    </w:p>
    <w:p w:rsidR="00253D21" w:rsidRPr="00B65813" w:rsidRDefault="00253D21" w:rsidP="00253D21">
      <w:pPr>
        <w:spacing w:before="120" w:after="120"/>
        <w:jc w:val="both"/>
        <w:rPr>
          <w:rFonts w:ascii="Calibri" w:hAnsi="Calibri" w:cs="Arial"/>
          <w:sz w:val="22"/>
          <w:szCs w:val="22"/>
        </w:rPr>
      </w:pPr>
      <w:r w:rsidRPr="009F48B7">
        <w:rPr>
          <w:rFonts w:ascii="Calibri" w:hAnsi="Calibri" w:cs="Arial"/>
          <w:sz w:val="22"/>
          <w:szCs w:val="22"/>
        </w:rPr>
        <w:t>The Chief Executive</w:t>
      </w:r>
      <w:r w:rsidR="00781C76" w:rsidRPr="009F48B7">
        <w:rPr>
          <w:rFonts w:ascii="Calibri" w:hAnsi="Calibri" w:cs="Arial"/>
          <w:sz w:val="22"/>
          <w:szCs w:val="22"/>
        </w:rPr>
        <w:t xml:space="preserve"> and Heads of Service are </w:t>
      </w:r>
      <w:r w:rsidRPr="009F48B7">
        <w:rPr>
          <w:rFonts w:ascii="Calibri" w:hAnsi="Calibri" w:cs="Arial"/>
          <w:sz w:val="22"/>
          <w:szCs w:val="22"/>
        </w:rPr>
        <w:t>set their performance target</w:t>
      </w:r>
      <w:r w:rsidR="00781C76" w:rsidRPr="009F48B7">
        <w:rPr>
          <w:rFonts w:ascii="Calibri" w:hAnsi="Calibri" w:cs="Arial"/>
          <w:sz w:val="22"/>
          <w:szCs w:val="22"/>
        </w:rPr>
        <w:t>s</w:t>
      </w:r>
      <w:r w:rsidRPr="009F48B7">
        <w:rPr>
          <w:rFonts w:ascii="Calibri" w:hAnsi="Calibri" w:cs="Arial"/>
          <w:sz w:val="22"/>
          <w:szCs w:val="22"/>
        </w:rPr>
        <w:t xml:space="preserve"> annually. These are based on the delivery of the Delivery Plan and the business risks anticipated for</w:t>
      </w:r>
      <w:r w:rsidRPr="00B65813">
        <w:rPr>
          <w:rFonts w:ascii="Calibri" w:hAnsi="Calibri" w:cs="Arial"/>
          <w:sz w:val="22"/>
          <w:szCs w:val="22"/>
        </w:rPr>
        <w:t xml:space="preserve"> the year. Senior politicians appraise the Chief Executive’s performance against these targets and the Chief Executive appraises the</w:t>
      </w:r>
      <w:r w:rsidR="00781C76">
        <w:rPr>
          <w:rFonts w:ascii="Calibri" w:hAnsi="Calibri" w:cs="Arial"/>
          <w:sz w:val="22"/>
          <w:szCs w:val="22"/>
        </w:rPr>
        <w:t xml:space="preserve"> Heads of Service</w:t>
      </w:r>
      <w:r w:rsidRPr="00B65813">
        <w:rPr>
          <w:rFonts w:ascii="Calibri" w:hAnsi="Calibri" w:cs="Arial"/>
          <w:sz w:val="22"/>
          <w:szCs w:val="22"/>
        </w:rPr>
        <w:t xml:space="preserve">. </w:t>
      </w:r>
    </w:p>
    <w:p w:rsidR="002F783A" w:rsidRDefault="00253D21" w:rsidP="00253D21">
      <w:pPr>
        <w:jc w:val="both"/>
        <w:rPr>
          <w:rFonts w:ascii="Calibri" w:hAnsi="Calibri" w:cs="Arial"/>
          <w:sz w:val="22"/>
          <w:szCs w:val="22"/>
        </w:rPr>
      </w:pPr>
      <w:r w:rsidRPr="00B65813">
        <w:rPr>
          <w:rFonts w:ascii="Calibri" w:hAnsi="Calibri" w:cs="Arial"/>
          <w:sz w:val="22"/>
          <w:szCs w:val="22"/>
        </w:rPr>
        <w:t>Performance Development Reviews (PDRs) are carried out for employees and training needs are identified as part of this process. The importance of the PDR process for the Council continues to be highlighted by the Chief Executive</w:t>
      </w:r>
      <w:r w:rsidRPr="006F760B">
        <w:rPr>
          <w:rFonts w:ascii="Calibri" w:hAnsi="Calibri" w:cs="Arial"/>
          <w:sz w:val="22"/>
          <w:szCs w:val="22"/>
        </w:rPr>
        <w:t>. The rate of completed PDRs for 20</w:t>
      </w:r>
      <w:r w:rsidR="006F760B" w:rsidRPr="006F760B">
        <w:rPr>
          <w:rFonts w:ascii="Calibri" w:hAnsi="Calibri" w:cs="Arial"/>
          <w:sz w:val="22"/>
          <w:szCs w:val="22"/>
        </w:rPr>
        <w:t>20</w:t>
      </w:r>
      <w:r w:rsidRPr="006F760B">
        <w:rPr>
          <w:rFonts w:ascii="Calibri" w:hAnsi="Calibri" w:cs="Arial"/>
          <w:sz w:val="22"/>
          <w:szCs w:val="22"/>
        </w:rPr>
        <w:t>/2</w:t>
      </w:r>
      <w:r w:rsidR="006F760B" w:rsidRPr="006F760B">
        <w:rPr>
          <w:rFonts w:ascii="Calibri" w:hAnsi="Calibri" w:cs="Arial"/>
          <w:sz w:val="22"/>
          <w:szCs w:val="22"/>
        </w:rPr>
        <w:t>1</w:t>
      </w:r>
      <w:r w:rsidRPr="006F760B">
        <w:rPr>
          <w:rFonts w:ascii="Calibri" w:hAnsi="Calibri" w:cs="Arial"/>
          <w:sz w:val="22"/>
          <w:szCs w:val="22"/>
        </w:rPr>
        <w:t xml:space="preserve"> </w:t>
      </w:r>
      <w:r w:rsidR="006F760B" w:rsidRPr="006F760B">
        <w:rPr>
          <w:rFonts w:ascii="Calibri" w:hAnsi="Calibri" w:cs="Arial"/>
          <w:sz w:val="22"/>
          <w:szCs w:val="22"/>
        </w:rPr>
        <w:t xml:space="preserve">remained fairly consistent with the </w:t>
      </w:r>
      <w:r w:rsidRPr="006F760B">
        <w:rPr>
          <w:rFonts w:ascii="Calibri" w:hAnsi="Calibri" w:cs="Arial"/>
          <w:sz w:val="22"/>
          <w:szCs w:val="22"/>
        </w:rPr>
        <w:t xml:space="preserve">previous year. </w:t>
      </w:r>
    </w:p>
    <w:p w:rsidR="002F783A" w:rsidRDefault="002F783A" w:rsidP="00253D21">
      <w:pPr>
        <w:jc w:val="both"/>
        <w:rPr>
          <w:rFonts w:ascii="Calibri" w:hAnsi="Calibri" w:cs="Arial"/>
          <w:sz w:val="22"/>
          <w:szCs w:val="22"/>
        </w:rPr>
      </w:pPr>
    </w:p>
    <w:p w:rsidR="002F783A" w:rsidRDefault="002F783A" w:rsidP="00253D21">
      <w:pPr>
        <w:jc w:val="both"/>
        <w:rPr>
          <w:rFonts w:ascii="Calibri" w:hAnsi="Calibri" w:cs="Arial"/>
          <w:sz w:val="22"/>
          <w:szCs w:val="22"/>
        </w:rPr>
      </w:pPr>
    </w:p>
    <w:p w:rsidR="002F783A" w:rsidRDefault="002F783A" w:rsidP="00253D21">
      <w:pPr>
        <w:jc w:val="both"/>
        <w:rPr>
          <w:rFonts w:ascii="Calibri" w:hAnsi="Calibri" w:cs="Arial"/>
          <w:sz w:val="22"/>
          <w:szCs w:val="22"/>
        </w:rPr>
      </w:pPr>
    </w:p>
    <w:p w:rsidR="00253D21" w:rsidRDefault="00253D21" w:rsidP="00253D21">
      <w:pPr>
        <w:jc w:val="both"/>
        <w:rPr>
          <w:rFonts w:ascii="Calibri" w:hAnsi="Calibri" w:cs="Arial"/>
          <w:sz w:val="22"/>
          <w:szCs w:val="22"/>
        </w:rPr>
      </w:pPr>
      <w:r w:rsidRPr="006F760B">
        <w:rPr>
          <w:rFonts w:ascii="Calibri" w:hAnsi="Calibri" w:cs="Arial"/>
          <w:sz w:val="22"/>
          <w:szCs w:val="22"/>
        </w:rPr>
        <w:lastRenderedPageBreak/>
        <w:t xml:space="preserve">The figures are shown below: </w:t>
      </w:r>
    </w:p>
    <w:p w:rsidR="00253D21" w:rsidRPr="007F5415" w:rsidRDefault="00253D21" w:rsidP="00253D21">
      <w:pPr>
        <w:jc w:val="both"/>
        <w:rPr>
          <w:rFonts w:ascii="Calibri" w:hAnsi="Calibri" w:cs="Arial"/>
          <w:sz w:val="22"/>
          <w:szCs w:val="22"/>
          <w:highlight w:val="yellow"/>
        </w:rPr>
      </w:pPr>
    </w:p>
    <w:tbl>
      <w:tblPr>
        <w:tblStyle w:val="TableGrid1"/>
        <w:tblW w:w="0" w:type="auto"/>
        <w:tblLayout w:type="fixed"/>
        <w:tblLook w:val="04A0" w:firstRow="1" w:lastRow="0" w:firstColumn="1" w:lastColumn="0" w:noHBand="0" w:noVBand="1"/>
      </w:tblPr>
      <w:tblGrid>
        <w:gridCol w:w="2830"/>
        <w:gridCol w:w="1843"/>
        <w:gridCol w:w="992"/>
        <w:gridCol w:w="1090"/>
        <w:gridCol w:w="904"/>
      </w:tblGrid>
      <w:tr w:rsidR="00253D21" w:rsidRPr="00B27DD8" w:rsidTr="003247EA">
        <w:tc>
          <w:tcPr>
            <w:tcW w:w="2830" w:type="dxa"/>
            <w:vMerge w:val="restart"/>
          </w:tcPr>
          <w:p w:rsidR="00253D21" w:rsidRPr="00B27DD8" w:rsidRDefault="00253D21" w:rsidP="003247EA">
            <w:pPr>
              <w:rPr>
                <w:rFonts w:ascii="Calibri" w:hAnsi="Calibri"/>
                <w:noProof/>
                <w:sz w:val="4"/>
                <w:szCs w:val="4"/>
                <w:lang w:eastAsia="en-GB"/>
              </w:rPr>
            </w:pPr>
          </w:p>
          <w:p w:rsidR="00253D21" w:rsidRPr="00B27DD8" w:rsidRDefault="00253D21" w:rsidP="003247EA">
            <w:pPr>
              <w:rPr>
                <w:rFonts w:ascii="Calibri" w:hAnsi="Calibri"/>
                <w:sz w:val="22"/>
                <w:szCs w:val="22"/>
              </w:rPr>
            </w:pPr>
            <w:r w:rsidRPr="00B27DD8">
              <w:rPr>
                <w:rFonts w:ascii="Calibri" w:hAnsi="Calibri"/>
                <w:noProof/>
                <w:sz w:val="22"/>
                <w:szCs w:val="22"/>
                <w:lang w:eastAsia="en-GB"/>
              </w:rPr>
              <w:drawing>
                <wp:inline distT="0" distB="0" distL="0" distR="0" wp14:anchorId="37B0DA3C" wp14:editId="16B1140E">
                  <wp:extent cx="1659890" cy="13049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59890" cy="1304925"/>
                          </a:xfrm>
                          <a:prstGeom prst="rect">
                            <a:avLst/>
                          </a:prstGeom>
                        </pic:spPr>
                      </pic:pic>
                    </a:graphicData>
                  </a:graphic>
                </wp:inline>
              </w:drawing>
            </w:r>
          </w:p>
        </w:tc>
        <w:tc>
          <w:tcPr>
            <w:tcW w:w="1843" w:type="dxa"/>
            <w:tcBorders>
              <w:bottom w:val="single" w:sz="4" w:space="0" w:color="auto"/>
            </w:tcBorders>
          </w:tcPr>
          <w:p w:rsidR="00253D21" w:rsidRPr="00B27DD8" w:rsidRDefault="00253D21" w:rsidP="003247EA">
            <w:pPr>
              <w:jc w:val="center"/>
              <w:rPr>
                <w:rFonts w:ascii="Calibri" w:hAnsi="Calibri"/>
                <w:b/>
                <w:sz w:val="22"/>
                <w:szCs w:val="22"/>
              </w:rPr>
            </w:pPr>
            <w:r w:rsidRPr="00B27DD8">
              <w:rPr>
                <w:rFonts w:ascii="Calibri" w:hAnsi="Calibri"/>
                <w:b/>
                <w:sz w:val="22"/>
                <w:szCs w:val="22"/>
              </w:rPr>
              <w:t>Area</w:t>
            </w:r>
          </w:p>
        </w:tc>
        <w:tc>
          <w:tcPr>
            <w:tcW w:w="992" w:type="dxa"/>
            <w:tcBorders>
              <w:bottom w:val="single" w:sz="4" w:space="0" w:color="auto"/>
            </w:tcBorders>
            <w:shd w:val="clear" w:color="auto" w:fill="F7CAAC"/>
          </w:tcPr>
          <w:p w:rsidR="00253D21" w:rsidRPr="00B27DD8" w:rsidRDefault="00253D21" w:rsidP="009A0BFA">
            <w:pPr>
              <w:jc w:val="center"/>
              <w:rPr>
                <w:rFonts w:ascii="Calibri" w:hAnsi="Calibri"/>
                <w:b/>
                <w:sz w:val="22"/>
                <w:szCs w:val="22"/>
              </w:rPr>
            </w:pPr>
            <w:r w:rsidRPr="00B27DD8">
              <w:rPr>
                <w:rFonts w:ascii="Calibri" w:hAnsi="Calibri"/>
                <w:b/>
                <w:sz w:val="22"/>
                <w:szCs w:val="22"/>
              </w:rPr>
              <w:t>201</w:t>
            </w:r>
            <w:r w:rsidR="009A0BFA" w:rsidRPr="00B27DD8">
              <w:rPr>
                <w:rFonts w:ascii="Calibri" w:hAnsi="Calibri"/>
                <w:b/>
                <w:sz w:val="22"/>
                <w:szCs w:val="22"/>
              </w:rPr>
              <w:t>9</w:t>
            </w:r>
            <w:r w:rsidRPr="00B27DD8">
              <w:rPr>
                <w:rFonts w:ascii="Calibri" w:hAnsi="Calibri"/>
                <w:b/>
                <w:sz w:val="22"/>
                <w:szCs w:val="22"/>
              </w:rPr>
              <w:t>/</w:t>
            </w:r>
            <w:r w:rsidR="009A0BFA" w:rsidRPr="00B27DD8">
              <w:rPr>
                <w:rFonts w:ascii="Calibri" w:hAnsi="Calibri"/>
                <w:b/>
                <w:sz w:val="22"/>
                <w:szCs w:val="22"/>
              </w:rPr>
              <w:t>20</w:t>
            </w:r>
          </w:p>
        </w:tc>
        <w:tc>
          <w:tcPr>
            <w:tcW w:w="1090" w:type="dxa"/>
            <w:tcBorders>
              <w:bottom w:val="single" w:sz="4" w:space="0" w:color="auto"/>
            </w:tcBorders>
            <w:shd w:val="clear" w:color="auto" w:fill="C5E0B3"/>
          </w:tcPr>
          <w:p w:rsidR="00253D21" w:rsidRPr="00B27DD8" w:rsidRDefault="00253D21" w:rsidP="009A0BFA">
            <w:pPr>
              <w:jc w:val="center"/>
              <w:rPr>
                <w:rFonts w:ascii="Calibri" w:hAnsi="Calibri"/>
                <w:b/>
                <w:sz w:val="22"/>
                <w:szCs w:val="22"/>
              </w:rPr>
            </w:pPr>
            <w:r w:rsidRPr="00B27DD8">
              <w:rPr>
                <w:rFonts w:ascii="Calibri" w:hAnsi="Calibri"/>
                <w:b/>
                <w:sz w:val="22"/>
                <w:szCs w:val="22"/>
              </w:rPr>
              <w:t>20</w:t>
            </w:r>
            <w:r w:rsidR="009A0BFA" w:rsidRPr="00B27DD8">
              <w:rPr>
                <w:rFonts w:ascii="Calibri" w:hAnsi="Calibri"/>
                <w:b/>
                <w:sz w:val="22"/>
                <w:szCs w:val="22"/>
              </w:rPr>
              <w:t>20</w:t>
            </w:r>
            <w:r w:rsidRPr="00B27DD8">
              <w:rPr>
                <w:rFonts w:ascii="Calibri" w:hAnsi="Calibri"/>
                <w:b/>
                <w:sz w:val="22"/>
                <w:szCs w:val="22"/>
              </w:rPr>
              <w:t>/2</w:t>
            </w:r>
            <w:r w:rsidR="009A0BFA" w:rsidRPr="00B27DD8">
              <w:rPr>
                <w:rFonts w:ascii="Calibri" w:hAnsi="Calibri"/>
                <w:b/>
                <w:sz w:val="22"/>
                <w:szCs w:val="22"/>
              </w:rPr>
              <w:t>1</w:t>
            </w:r>
          </w:p>
        </w:tc>
        <w:tc>
          <w:tcPr>
            <w:tcW w:w="904" w:type="dxa"/>
            <w:tcBorders>
              <w:bottom w:val="single" w:sz="4" w:space="0" w:color="auto"/>
            </w:tcBorders>
          </w:tcPr>
          <w:p w:rsidR="00253D21" w:rsidRPr="00B27DD8" w:rsidRDefault="00253D21" w:rsidP="003247EA">
            <w:pPr>
              <w:jc w:val="center"/>
              <w:rPr>
                <w:rFonts w:ascii="Calibri" w:hAnsi="Calibri"/>
                <w:b/>
                <w:sz w:val="22"/>
                <w:szCs w:val="22"/>
              </w:rPr>
            </w:pPr>
            <w:r w:rsidRPr="00B27DD8">
              <w:rPr>
                <w:rFonts w:ascii="Calibri" w:hAnsi="Calibri"/>
                <w:b/>
                <w:sz w:val="22"/>
                <w:szCs w:val="22"/>
              </w:rPr>
              <w:t>Trend</w:t>
            </w:r>
          </w:p>
        </w:tc>
      </w:tr>
      <w:tr w:rsidR="00253D21" w:rsidRPr="00B27DD8" w:rsidTr="003247EA">
        <w:trPr>
          <w:trHeight w:val="511"/>
        </w:trPr>
        <w:tc>
          <w:tcPr>
            <w:tcW w:w="2830" w:type="dxa"/>
            <w:vMerge/>
          </w:tcPr>
          <w:p w:rsidR="00253D21" w:rsidRPr="00B27DD8" w:rsidRDefault="00253D21" w:rsidP="003247EA">
            <w:pPr>
              <w:rPr>
                <w:rFonts w:ascii="Calibri" w:hAnsi="Calibri"/>
                <w:sz w:val="22"/>
                <w:szCs w:val="22"/>
              </w:rPr>
            </w:pPr>
          </w:p>
        </w:tc>
        <w:tc>
          <w:tcPr>
            <w:tcW w:w="1843" w:type="dxa"/>
            <w:vAlign w:val="center"/>
          </w:tcPr>
          <w:p w:rsidR="00253D21" w:rsidRPr="00B27DD8" w:rsidRDefault="00253D21" w:rsidP="003247EA">
            <w:pPr>
              <w:rPr>
                <w:rFonts w:ascii="Calibri" w:hAnsi="Calibri"/>
                <w:b/>
                <w:sz w:val="22"/>
                <w:szCs w:val="22"/>
              </w:rPr>
            </w:pPr>
            <w:r w:rsidRPr="00B27DD8">
              <w:rPr>
                <w:rFonts w:ascii="Calibri" w:hAnsi="Calibri"/>
                <w:b/>
                <w:sz w:val="22"/>
                <w:szCs w:val="22"/>
              </w:rPr>
              <w:t>Performance Development Reviews (September)</w:t>
            </w:r>
          </w:p>
        </w:tc>
        <w:tc>
          <w:tcPr>
            <w:tcW w:w="992" w:type="dxa"/>
            <w:shd w:val="clear" w:color="auto" w:fill="F7CAAC"/>
            <w:vAlign w:val="center"/>
          </w:tcPr>
          <w:p w:rsidR="00253D21" w:rsidRPr="00B27DD8" w:rsidRDefault="009A0BFA" w:rsidP="009A0BFA">
            <w:pPr>
              <w:jc w:val="right"/>
              <w:rPr>
                <w:rFonts w:ascii="Calibri" w:hAnsi="Calibri"/>
                <w:b/>
                <w:sz w:val="22"/>
                <w:szCs w:val="22"/>
              </w:rPr>
            </w:pPr>
            <w:r w:rsidRPr="00B27DD8">
              <w:rPr>
                <w:rFonts w:ascii="Calibri" w:hAnsi="Calibri"/>
                <w:b/>
                <w:sz w:val="22"/>
                <w:szCs w:val="22"/>
              </w:rPr>
              <w:t>12</w:t>
            </w:r>
            <w:r w:rsidR="00253D21" w:rsidRPr="00B27DD8">
              <w:rPr>
                <w:rFonts w:ascii="Calibri" w:hAnsi="Calibri"/>
                <w:b/>
                <w:sz w:val="22"/>
                <w:szCs w:val="22"/>
              </w:rPr>
              <w:t>.</w:t>
            </w:r>
            <w:r w:rsidRPr="00B27DD8">
              <w:rPr>
                <w:rFonts w:ascii="Calibri" w:hAnsi="Calibri"/>
                <w:b/>
                <w:sz w:val="22"/>
                <w:szCs w:val="22"/>
              </w:rPr>
              <w:t>4</w:t>
            </w:r>
            <w:r w:rsidR="00253D21" w:rsidRPr="00B27DD8">
              <w:rPr>
                <w:rFonts w:ascii="Calibri" w:hAnsi="Calibri"/>
                <w:b/>
                <w:sz w:val="22"/>
                <w:szCs w:val="22"/>
              </w:rPr>
              <w:t>%</w:t>
            </w:r>
          </w:p>
        </w:tc>
        <w:tc>
          <w:tcPr>
            <w:tcW w:w="1090" w:type="dxa"/>
            <w:shd w:val="clear" w:color="auto" w:fill="C5E0B3"/>
            <w:vAlign w:val="center"/>
          </w:tcPr>
          <w:p w:rsidR="00253D21" w:rsidRPr="00B27DD8" w:rsidRDefault="005F2895" w:rsidP="003247EA">
            <w:pPr>
              <w:jc w:val="right"/>
              <w:rPr>
                <w:rFonts w:ascii="Calibri" w:hAnsi="Calibri"/>
                <w:b/>
                <w:sz w:val="22"/>
                <w:szCs w:val="22"/>
              </w:rPr>
            </w:pPr>
            <w:r w:rsidRPr="00B27DD8">
              <w:rPr>
                <w:rFonts w:ascii="Calibri" w:hAnsi="Calibri"/>
                <w:b/>
                <w:sz w:val="22"/>
                <w:szCs w:val="22"/>
              </w:rPr>
              <w:t>18.12</w:t>
            </w:r>
            <w:r w:rsidR="00253D21" w:rsidRPr="00B27DD8">
              <w:rPr>
                <w:rFonts w:ascii="Calibri" w:hAnsi="Calibri"/>
                <w:b/>
                <w:sz w:val="22"/>
                <w:szCs w:val="22"/>
              </w:rPr>
              <w:t>%</w:t>
            </w:r>
          </w:p>
        </w:tc>
        <w:tc>
          <w:tcPr>
            <w:tcW w:w="904" w:type="dxa"/>
            <w:vAlign w:val="center"/>
          </w:tcPr>
          <w:p w:rsidR="00253D21" w:rsidRPr="00B27DD8" w:rsidRDefault="005F2895" w:rsidP="003247EA">
            <w:pPr>
              <w:jc w:val="center"/>
              <w:rPr>
                <w:rFonts w:ascii="Calibri" w:hAnsi="Calibri"/>
                <w:b/>
                <w:sz w:val="22"/>
                <w:szCs w:val="22"/>
              </w:rPr>
            </w:pPr>
            <w:r w:rsidRPr="00B27DD8">
              <w:rPr>
                <w:rFonts w:cs="Arial"/>
                <w:noProof/>
                <w:color w:val="FFFFFF"/>
                <w:sz w:val="20"/>
                <w:szCs w:val="20"/>
                <w:lang w:eastAsia="en-GB"/>
              </w:rPr>
              <w:drawing>
                <wp:inline distT="0" distB="0" distL="0" distR="0" wp14:anchorId="64B6DAE4" wp14:editId="55F843EE">
                  <wp:extent cx="409575" cy="361950"/>
                  <wp:effectExtent l="0" t="0" r="9525"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409575" cy="361950"/>
                          </a:xfrm>
                          <a:prstGeom prst="rect">
                            <a:avLst/>
                          </a:prstGeom>
                          <a:noFill/>
                          <a:ln>
                            <a:noFill/>
                          </a:ln>
                        </pic:spPr>
                      </pic:pic>
                    </a:graphicData>
                  </a:graphic>
                </wp:inline>
              </w:drawing>
            </w:r>
          </w:p>
        </w:tc>
      </w:tr>
      <w:tr w:rsidR="00253D21" w:rsidRPr="00B27DD8" w:rsidTr="003247EA">
        <w:trPr>
          <w:trHeight w:val="274"/>
        </w:trPr>
        <w:tc>
          <w:tcPr>
            <w:tcW w:w="2830" w:type="dxa"/>
            <w:vMerge/>
          </w:tcPr>
          <w:p w:rsidR="00253D21" w:rsidRPr="00B27DD8" w:rsidRDefault="00253D21" w:rsidP="003247EA">
            <w:pPr>
              <w:rPr>
                <w:rFonts w:ascii="Calibri" w:hAnsi="Calibri"/>
                <w:sz w:val="22"/>
                <w:szCs w:val="22"/>
              </w:rPr>
            </w:pPr>
          </w:p>
        </w:tc>
        <w:tc>
          <w:tcPr>
            <w:tcW w:w="1843" w:type="dxa"/>
            <w:vAlign w:val="center"/>
          </w:tcPr>
          <w:p w:rsidR="00253D21" w:rsidRPr="00B27DD8" w:rsidRDefault="00253D21" w:rsidP="003247EA">
            <w:pPr>
              <w:rPr>
                <w:rFonts w:ascii="Calibri" w:hAnsi="Calibri"/>
                <w:b/>
                <w:sz w:val="22"/>
                <w:szCs w:val="22"/>
              </w:rPr>
            </w:pPr>
            <w:r w:rsidRPr="00B27DD8">
              <w:rPr>
                <w:rFonts w:ascii="Calibri" w:hAnsi="Calibri"/>
                <w:b/>
                <w:sz w:val="22"/>
                <w:szCs w:val="22"/>
              </w:rPr>
              <w:t>Performance Development Reviews (March)</w:t>
            </w:r>
          </w:p>
        </w:tc>
        <w:tc>
          <w:tcPr>
            <w:tcW w:w="992" w:type="dxa"/>
            <w:shd w:val="clear" w:color="auto" w:fill="F7CAAC"/>
            <w:vAlign w:val="center"/>
          </w:tcPr>
          <w:p w:rsidR="00253D21" w:rsidRPr="00B27DD8" w:rsidRDefault="009A0BFA" w:rsidP="003247EA">
            <w:pPr>
              <w:jc w:val="right"/>
              <w:rPr>
                <w:rFonts w:ascii="Calibri" w:hAnsi="Calibri"/>
                <w:b/>
                <w:sz w:val="22"/>
                <w:szCs w:val="22"/>
              </w:rPr>
            </w:pPr>
            <w:r w:rsidRPr="00B27DD8">
              <w:rPr>
                <w:rFonts w:ascii="Calibri" w:hAnsi="Calibri"/>
                <w:b/>
                <w:sz w:val="22"/>
                <w:szCs w:val="22"/>
              </w:rPr>
              <w:t>52</w:t>
            </w:r>
            <w:r w:rsidR="00253D21" w:rsidRPr="00B27DD8">
              <w:rPr>
                <w:rFonts w:ascii="Calibri" w:hAnsi="Calibri"/>
                <w:b/>
                <w:sz w:val="22"/>
                <w:szCs w:val="22"/>
              </w:rPr>
              <w:t>.0%</w:t>
            </w:r>
          </w:p>
        </w:tc>
        <w:tc>
          <w:tcPr>
            <w:tcW w:w="1090" w:type="dxa"/>
            <w:shd w:val="clear" w:color="auto" w:fill="C5E0B3"/>
            <w:vAlign w:val="center"/>
          </w:tcPr>
          <w:p w:rsidR="00253D21" w:rsidRPr="00B27DD8" w:rsidRDefault="005F2895" w:rsidP="003247EA">
            <w:pPr>
              <w:jc w:val="right"/>
              <w:rPr>
                <w:rFonts w:ascii="Calibri" w:hAnsi="Calibri"/>
                <w:b/>
                <w:sz w:val="22"/>
                <w:szCs w:val="22"/>
              </w:rPr>
            </w:pPr>
            <w:r w:rsidRPr="00B27DD8">
              <w:rPr>
                <w:rFonts w:ascii="Calibri" w:hAnsi="Calibri"/>
                <w:b/>
                <w:sz w:val="22"/>
                <w:szCs w:val="22"/>
              </w:rPr>
              <w:t>55.98</w:t>
            </w:r>
            <w:r w:rsidR="00253D21" w:rsidRPr="00B27DD8">
              <w:rPr>
                <w:rFonts w:ascii="Calibri" w:hAnsi="Calibri"/>
                <w:b/>
                <w:sz w:val="22"/>
                <w:szCs w:val="22"/>
              </w:rPr>
              <w:t>%</w:t>
            </w:r>
          </w:p>
        </w:tc>
        <w:tc>
          <w:tcPr>
            <w:tcW w:w="904" w:type="dxa"/>
            <w:vAlign w:val="center"/>
          </w:tcPr>
          <w:p w:rsidR="00253D21" w:rsidRPr="00B27DD8" w:rsidRDefault="005F2895" w:rsidP="003247EA">
            <w:pPr>
              <w:jc w:val="center"/>
              <w:rPr>
                <w:rFonts w:cs="Arial"/>
                <w:noProof/>
                <w:color w:val="FFFFFF"/>
                <w:sz w:val="20"/>
                <w:szCs w:val="20"/>
                <w:lang w:eastAsia="en-GB"/>
              </w:rPr>
            </w:pPr>
            <w:r w:rsidRPr="00B27DD8">
              <w:rPr>
                <w:rFonts w:cs="Arial"/>
                <w:noProof/>
                <w:color w:val="FFFFFF"/>
                <w:sz w:val="20"/>
                <w:szCs w:val="20"/>
                <w:lang w:eastAsia="en-GB"/>
              </w:rPr>
              <w:drawing>
                <wp:inline distT="0" distB="0" distL="0" distR="0" wp14:anchorId="64B6DAE4" wp14:editId="55F843EE">
                  <wp:extent cx="409575" cy="361950"/>
                  <wp:effectExtent l="0" t="0" r="9525"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409575" cy="361950"/>
                          </a:xfrm>
                          <a:prstGeom prst="rect">
                            <a:avLst/>
                          </a:prstGeom>
                          <a:noFill/>
                          <a:ln>
                            <a:noFill/>
                          </a:ln>
                        </pic:spPr>
                      </pic:pic>
                    </a:graphicData>
                  </a:graphic>
                </wp:inline>
              </w:drawing>
            </w:r>
          </w:p>
        </w:tc>
      </w:tr>
    </w:tbl>
    <w:p w:rsidR="003247EA" w:rsidRDefault="003247EA" w:rsidP="00253D21">
      <w:pPr>
        <w:spacing w:before="120" w:after="120"/>
        <w:jc w:val="both"/>
        <w:rPr>
          <w:rFonts w:ascii="Calibri" w:hAnsi="Calibri" w:cs="Arial"/>
          <w:sz w:val="22"/>
          <w:szCs w:val="22"/>
        </w:rPr>
      </w:pPr>
      <w:r w:rsidRPr="00B27DD8">
        <w:rPr>
          <w:rFonts w:ascii="Calibri" w:hAnsi="Calibri" w:cs="Arial"/>
          <w:sz w:val="22"/>
          <w:szCs w:val="22"/>
        </w:rPr>
        <w:t>There was a slight increase</w:t>
      </w:r>
      <w:r w:rsidR="00253D21" w:rsidRPr="00B27DD8">
        <w:rPr>
          <w:rFonts w:ascii="Calibri" w:hAnsi="Calibri" w:cs="Arial"/>
          <w:sz w:val="22"/>
          <w:szCs w:val="22"/>
        </w:rPr>
        <w:t xml:space="preserve"> in completed PDRs compared with 201</w:t>
      </w:r>
      <w:r w:rsidRPr="00B27DD8">
        <w:rPr>
          <w:rFonts w:ascii="Calibri" w:hAnsi="Calibri" w:cs="Arial"/>
          <w:sz w:val="22"/>
          <w:szCs w:val="22"/>
        </w:rPr>
        <w:t>9</w:t>
      </w:r>
      <w:r w:rsidR="00253D21" w:rsidRPr="00B27DD8">
        <w:rPr>
          <w:rFonts w:ascii="Calibri" w:hAnsi="Calibri" w:cs="Arial"/>
          <w:sz w:val="22"/>
          <w:szCs w:val="22"/>
        </w:rPr>
        <w:t>/</w:t>
      </w:r>
      <w:r w:rsidRPr="00B27DD8">
        <w:rPr>
          <w:rFonts w:ascii="Calibri" w:hAnsi="Calibri" w:cs="Arial"/>
          <w:sz w:val="22"/>
          <w:szCs w:val="22"/>
        </w:rPr>
        <w:t>20.</w:t>
      </w:r>
      <w:r w:rsidR="00253D21" w:rsidRPr="00B27DD8">
        <w:rPr>
          <w:rFonts w:ascii="Calibri" w:hAnsi="Calibri" w:cs="Arial"/>
          <w:sz w:val="22"/>
          <w:szCs w:val="22"/>
        </w:rPr>
        <w:t xml:space="preserve"> </w:t>
      </w:r>
      <w:r w:rsidRPr="00B27DD8">
        <w:rPr>
          <w:rFonts w:ascii="Calibri" w:hAnsi="Calibri" w:cs="Arial"/>
          <w:sz w:val="22"/>
          <w:szCs w:val="22"/>
        </w:rPr>
        <w:t>However, the numbers still remain lower than the Council would like, and for 2020/21 can be explained partly by the impact of</w:t>
      </w:r>
      <w:r w:rsidRPr="006F539E">
        <w:rPr>
          <w:rFonts w:ascii="Calibri" w:hAnsi="Calibri" w:cs="Arial"/>
          <w:sz w:val="22"/>
          <w:szCs w:val="22"/>
        </w:rPr>
        <w:t xml:space="preserve"> C</w:t>
      </w:r>
      <w:r w:rsidR="0020097A">
        <w:rPr>
          <w:rFonts w:ascii="Calibri" w:hAnsi="Calibri" w:cs="Arial"/>
          <w:sz w:val="22"/>
          <w:szCs w:val="22"/>
        </w:rPr>
        <w:t>ovid</w:t>
      </w:r>
      <w:r w:rsidRPr="006F539E">
        <w:rPr>
          <w:rFonts w:ascii="Calibri" w:hAnsi="Calibri" w:cs="Arial"/>
          <w:sz w:val="22"/>
          <w:szCs w:val="22"/>
        </w:rPr>
        <w:t>-19, together with the issues faced in 20</w:t>
      </w:r>
      <w:r w:rsidR="00D6736B">
        <w:rPr>
          <w:rFonts w:ascii="Calibri" w:hAnsi="Calibri" w:cs="Arial"/>
          <w:sz w:val="22"/>
          <w:szCs w:val="22"/>
        </w:rPr>
        <w:t>20</w:t>
      </w:r>
      <w:r w:rsidRPr="006F539E">
        <w:rPr>
          <w:rFonts w:ascii="Calibri" w:hAnsi="Calibri" w:cs="Arial"/>
          <w:sz w:val="22"/>
          <w:szCs w:val="22"/>
        </w:rPr>
        <w:t>/2</w:t>
      </w:r>
      <w:r w:rsidR="00D6736B">
        <w:rPr>
          <w:rFonts w:ascii="Calibri" w:hAnsi="Calibri" w:cs="Arial"/>
          <w:sz w:val="22"/>
          <w:szCs w:val="22"/>
        </w:rPr>
        <w:t>1</w:t>
      </w:r>
      <w:r w:rsidRPr="006F539E">
        <w:rPr>
          <w:rFonts w:ascii="Calibri" w:hAnsi="Calibri" w:cs="Arial"/>
          <w:sz w:val="22"/>
          <w:szCs w:val="22"/>
        </w:rPr>
        <w:t xml:space="preserve">, which </w:t>
      </w:r>
      <w:r w:rsidR="00253D21" w:rsidRPr="006F539E">
        <w:rPr>
          <w:rFonts w:ascii="Calibri" w:hAnsi="Calibri" w:cs="Arial"/>
          <w:sz w:val="22"/>
          <w:szCs w:val="22"/>
        </w:rPr>
        <w:t>includ</w:t>
      </w:r>
      <w:r w:rsidRPr="006F539E">
        <w:rPr>
          <w:rFonts w:ascii="Calibri" w:hAnsi="Calibri" w:cs="Arial"/>
          <w:sz w:val="22"/>
          <w:szCs w:val="22"/>
        </w:rPr>
        <w:t>ed</w:t>
      </w:r>
      <w:r w:rsidR="00253D21" w:rsidRPr="006F539E">
        <w:rPr>
          <w:rFonts w:ascii="Calibri" w:hAnsi="Calibri" w:cs="Arial"/>
          <w:sz w:val="22"/>
          <w:szCs w:val="22"/>
        </w:rPr>
        <w:t xml:space="preserve"> resourcing gaps as a result of illness and vacant posts</w:t>
      </w:r>
      <w:r w:rsidR="001E0393">
        <w:rPr>
          <w:rFonts w:ascii="Calibri" w:hAnsi="Calibri" w:cs="Arial"/>
          <w:sz w:val="22"/>
          <w:szCs w:val="22"/>
        </w:rPr>
        <w:t xml:space="preserve"> in senior roles and management positions</w:t>
      </w:r>
      <w:r w:rsidRPr="006F539E">
        <w:rPr>
          <w:rFonts w:ascii="Calibri" w:hAnsi="Calibri" w:cs="Arial"/>
          <w:sz w:val="22"/>
          <w:szCs w:val="22"/>
        </w:rPr>
        <w:t>.</w:t>
      </w:r>
    </w:p>
    <w:p w:rsidR="00253D21" w:rsidRPr="00194CE0" w:rsidRDefault="00253D21" w:rsidP="00253D21">
      <w:pPr>
        <w:spacing w:before="120" w:after="120"/>
        <w:jc w:val="both"/>
        <w:rPr>
          <w:rFonts w:ascii="Calibri" w:hAnsi="Calibri" w:cs="Arial"/>
          <w:sz w:val="22"/>
          <w:szCs w:val="22"/>
        </w:rPr>
      </w:pPr>
      <w:r w:rsidRPr="00194CE0">
        <w:rPr>
          <w:rFonts w:ascii="Calibri" w:hAnsi="Calibri" w:cs="Arial"/>
          <w:sz w:val="22"/>
          <w:szCs w:val="22"/>
        </w:rPr>
        <w:t>A structured e-learning programme is available which greatly enhances the learning and development opportunities for a large cross-section of employees. Areas covered include fraud awareness and equalities</w:t>
      </w:r>
      <w:r w:rsidR="00614CC1" w:rsidRPr="00194CE0">
        <w:rPr>
          <w:rFonts w:ascii="Calibri" w:hAnsi="Calibri" w:cs="Arial"/>
          <w:sz w:val="22"/>
          <w:szCs w:val="22"/>
        </w:rPr>
        <w:t>.</w:t>
      </w:r>
    </w:p>
    <w:p w:rsidR="009D7DA2" w:rsidRPr="00194CE0" w:rsidRDefault="00F34E01" w:rsidP="00253D21">
      <w:pPr>
        <w:spacing w:before="120" w:after="120"/>
        <w:jc w:val="both"/>
        <w:rPr>
          <w:rFonts w:ascii="Calibri" w:hAnsi="Calibri" w:cs="Arial"/>
          <w:sz w:val="22"/>
          <w:szCs w:val="22"/>
        </w:rPr>
      </w:pPr>
      <w:r w:rsidRPr="00194CE0">
        <w:rPr>
          <w:rFonts w:ascii="Calibri" w:hAnsi="Calibri" w:cs="Arial"/>
          <w:sz w:val="22"/>
          <w:szCs w:val="22"/>
        </w:rPr>
        <w:t>The Council has recently invested in a programme of training for all its managers and which will be delivered by West Midlands Employers</w:t>
      </w:r>
      <w:r w:rsidR="001E0393" w:rsidRPr="00194CE0">
        <w:rPr>
          <w:rFonts w:ascii="Calibri" w:hAnsi="Calibri" w:cs="Arial"/>
          <w:sz w:val="22"/>
          <w:szCs w:val="22"/>
        </w:rPr>
        <w:t xml:space="preserve"> in the coming months</w:t>
      </w:r>
      <w:r w:rsidRPr="00194CE0">
        <w:rPr>
          <w:rFonts w:ascii="Calibri" w:hAnsi="Calibri" w:cs="Arial"/>
          <w:sz w:val="22"/>
          <w:szCs w:val="22"/>
        </w:rPr>
        <w:t xml:space="preserve">. All managers are expected to attend </w:t>
      </w:r>
      <w:r w:rsidR="001E0393" w:rsidRPr="00194CE0">
        <w:rPr>
          <w:rFonts w:ascii="Calibri" w:hAnsi="Calibri" w:cs="Arial"/>
          <w:sz w:val="22"/>
          <w:szCs w:val="22"/>
        </w:rPr>
        <w:t xml:space="preserve">one of the sessions </w:t>
      </w:r>
      <w:r w:rsidRPr="00194CE0">
        <w:rPr>
          <w:rFonts w:ascii="Calibri" w:hAnsi="Calibri" w:cs="Arial"/>
          <w:sz w:val="22"/>
          <w:szCs w:val="22"/>
        </w:rPr>
        <w:t xml:space="preserve">and there will be four cohorts, the first cohort beginning in March 2020 </w:t>
      </w:r>
      <w:r w:rsidR="009D7DA2" w:rsidRPr="00194CE0">
        <w:rPr>
          <w:rFonts w:ascii="Calibri" w:hAnsi="Calibri" w:cs="Arial"/>
          <w:sz w:val="22"/>
          <w:szCs w:val="22"/>
        </w:rPr>
        <w:t xml:space="preserve">and </w:t>
      </w:r>
      <w:r w:rsidRPr="00194CE0">
        <w:rPr>
          <w:rFonts w:ascii="Calibri" w:hAnsi="Calibri" w:cs="Arial"/>
          <w:sz w:val="22"/>
          <w:szCs w:val="22"/>
        </w:rPr>
        <w:t xml:space="preserve">the programme running throughout 2020/21. There are eight modules including communication, </w:t>
      </w:r>
      <w:r w:rsidR="009D7DA2" w:rsidRPr="00194CE0">
        <w:rPr>
          <w:rFonts w:ascii="Calibri" w:hAnsi="Calibri" w:cs="Arial"/>
          <w:sz w:val="22"/>
          <w:szCs w:val="22"/>
        </w:rPr>
        <w:t>motivation of self and others an</w:t>
      </w:r>
      <w:r w:rsidR="001E0393" w:rsidRPr="00194CE0">
        <w:rPr>
          <w:rFonts w:ascii="Calibri" w:hAnsi="Calibri" w:cs="Arial"/>
          <w:sz w:val="22"/>
          <w:szCs w:val="22"/>
        </w:rPr>
        <w:t>d leadership in a virtual world, linking closely to our competencies.</w:t>
      </w:r>
    </w:p>
    <w:p w:rsidR="001D1CDB" w:rsidRDefault="00253D21" w:rsidP="00253D21">
      <w:pPr>
        <w:spacing w:before="120" w:after="120"/>
        <w:jc w:val="both"/>
        <w:rPr>
          <w:rFonts w:ascii="Calibri" w:hAnsi="Calibri" w:cs="Arial"/>
          <w:sz w:val="22"/>
          <w:szCs w:val="22"/>
        </w:rPr>
      </w:pPr>
      <w:r w:rsidRPr="00194CE0">
        <w:rPr>
          <w:rFonts w:ascii="Calibri" w:hAnsi="Calibri" w:cs="Arial"/>
          <w:sz w:val="22"/>
          <w:szCs w:val="22"/>
        </w:rPr>
        <w:t xml:space="preserve">The Council seeks to ensure that its employees are kept up to date with issues affecting the Council, for instance, performance is communicated through regular </w:t>
      </w:r>
      <w:r w:rsidR="001E0393" w:rsidRPr="00194CE0">
        <w:rPr>
          <w:rFonts w:ascii="Calibri" w:hAnsi="Calibri" w:cs="Arial"/>
          <w:sz w:val="22"/>
          <w:szCs w:val="22"/>
        </w:rPr>
        <w:t xml:space="preserve">weekly </w:t>
      </w:r>
      <w:r w:rsidRPr="00194CE0">
        <w:rPr>
          <w:rFonts w:ascii="Calibri" w:hAnsi="Calibri" w:cs="Arial"/>
          <w:sz w:val="22"/>
          <w:szCs w:val="22"/>
        </w:rPr>
        <w:t>emails</w:t>
      </w:r>
      <w:r w:rsidR="001E0393" w:rsidRPr="00194CE0">
        <w:rPr>
          <w:rFonts w:ascii="Calibri" w:hAnsi="Calibri" w:cs="Arial"/>
          <w:sz w:val="22"/>
          <w:szCs w:val="22"/>
        </w:rPr>
        <w:t xml:space="preserve"> from the Chief Executive and Leadership team</w:t>
      </w:r>
      <w:r w:rsidRPr="00194CE0">
        <w:rPr>
          <w:rFonts w:ascii="Calibri" w:hAnsi="Calibri" w:cs="Arial"/>
          <w:sz w:val="22"/>
          <w:szCs w:val="22"/>
        </w:rPr>
        <w:t xml:space="preserve"> as well</w:t>
      </w:r>
      <w:r w:rsidR="001E0393" w:rsidRPr="00194CE0">
        <w:rPr>
          <w:rFonts w:ascii="Calibri" w:hAnsi="Calibri" w:cs="Arial"/>
          <w:sz w:val="22"/>
          <w:szCs w:val="22"/>
        </w:rPr>
        <w:t xml:space="preserve"> as regular Managers’ Briefings which is designed to feed out key messages to </w:t>
      </w:r>
      <w:r w:rsidRPr="00194CE0">
        <w:rPr>
          <w:rFonts w:ascii="Calibri" w:hAnsi="Calibri" w:cs="Arial"/>
          <w:sz w:val="22"/>
          <w:szCs w:val="22"/>
        </w:rPr>
        <w:t>individual team meetings</w:t>
      </w:r>
      <w:r w:rsidR="001E0393" w:rsidRPr="00194CE0">
        <w:rPr>
          <w:rFonts w:ascii="Calibri" w:hAnsi="Calibri" w:cs="Arial"/>
          <w:sz w:val="22"/>
          <w:szCs w:val="22"/>
        </w:rPr>
        <w:t>.</w:t>
      </w:r>
      <w:r w:rsidRPr="001D1CDB">
        <w:rPr>
          <w:rFonts w:ascii="Calibri" w:hAnsi="Calibri" w:cs="Arial"/>
          <w:sz w:val="22"/>
          <w:szCs w:val="22"/>
        </w:rPr>
        <w:t xml:space="preserve"> </w:t>
      </w:r>
    </w:p>
    <w:p w:rsidR="00253D21" w:rsidRPr="00B85E73" w:rsidRDefault="00253D21" w:rsidP="00253D21">
      <w:pPr>
        <w:widowControl w:val="0"/>
        <w:pBdr>
          <w:top w:val="single" w:sz="4" w:space="1" w:color="auto"/>
          <w:left w:val="single" w:sz="4" w:space="4" w:color="auto"/>
          <w:bottom w:val="single" w:sz="4" w:space="1" w:color="auto"/>
          <w:right w:val="single" w:sz="4" w:space="4" w:color="auto"/>
        </w:pBdr>
        <w:shd w:val="clear" w:color="auto" w:fill="CAB8F6"/>
        <w:spacing w:after="242" w:line="246" w:lineRule="exact"/>
        <w:ind w:left="567" w:hanging="567"/>
        <w:jc w:val="both"/>
        <w:rPr>
          <w:rFonts w:ascii="Calibri" w:eastAsia="Arial" w:hAnsi="Calibri" w:cs="Arial"/>
          <w:b/>
          <w:bCs/>
          <w:sz w:val="22"/>
          <w:szCs w:val="22"/>
          <w:lang w:eastAsia="en-GB"/>
        </w:rPr>
      </w:pPr>
      <w:r w:rsidRPr="00B85E73">
        <w:rPr>
          <w:rFonts w:ascii="Calibri" w:eastAsia="Arial" w:hAnsi="Calibri" w:cs="Arial"/>
          <w:b/>
          <w:bCs/>
          <w:sz w:val="22"/>
          <w:szCs w:val="22"/>
          <w:lang w:eastAsia="en-GB"/>
        </w:rPr>
        <w:t>F</w:t>
      </w:r>
      <w:r w:rsidRPr="00B85E73">
        <w:rPr>
          <w:rFonts w:ascii="Calibri" w:eastAsia="Arial" w:hAnsi="Calibri" w:cs="Arial"/>
          <w:b/>
          <w:bCs/>
          <w:sz w:val="22"/>
          <w:szCs w:val="22"/>
          <w:lang w:eastAsia="en-GB"/>
        </w:rPr>
        <w:tab/>
        <w:t>Managing Risks and Performance through Robust Internal Control and Strong Public Finance Management</w:t>
      </w:r>
    </w:p>
    <w:p w:rsidR="00253D21" w:rsidRPr="00B65813" w:rsidRDefault="00253D21" w:rsidP="00253D21">
      <w:pPr>
        <w:spacing w:before="120" w:after="120"/>
        <w:jc w:val="both"/>
        <w:rPr>
          <w:rFonts w:ascii="Calibri" w:hAnsi="Calibri" w:cs="Arial"/>
          <w:sz w:val="22"/>
          <w:szCs w:val="22"/>
        </w:rPr>
      </w:pPr>
      <w:r w:rsidRPr="00B65813">
        <w:rPr>
          <w:rFonts w:ascii="Calibri" w:hAnsi="Calibri" w:cs="Arial"/>
          <w:sz w:val="22"/>
          <w:szCs w:val="22"/>
        </w:rPr>
        <w:t xml:space="preserve">The Council has a Risk Management Policy and managers are trained in the assessment, management and monitoring of risks. This Policy was reviewed and refreshed during 2019/20, and approved by Audit and Member Standards Committee in November 2019. </w:t>
      </w:r>
    </w:p>
    <w:p w:rsidR="00253D21" w:rsidRDefault="00253D21" w:rsidP="00253D21">
      <w:pPr>
        <w:spacing w:before="120" w:after="120"/>
        <w:jc w:val="both"/>
        <w:rPr>
          <w:rFonts w:ascii="Calibri" w:hAnsi="Calibri" w:cs="Arial"/>
          <w:sz w:val="22"/>
          <w:szCs w:val="22"/>
        </w:rPr>
      </w:pPr>
      <w:r w:rsidRPr="00B65813">
        <w:rPr>
          <w:rFonts w:ascii="Calibri" w:hAnsi="Calibri" w:cs="Arial"/>
          <w:sz w:val="22"/>
          <w:szCs w:val="22"/>
        </w:rPr>
        <w:t xml:space="preserve">The Corporate Risk Register is produced by assessing the risk factors that could potentially impact on the Council’s ability to deliver its Strategic Plan. Risks are judged on their likelihood of occurrence and their potential impact. These are monitored by Members and Senior Officers and reported on three times a year to Audit and Member Standards Committee. </w:t>
      </w:r>
    </w:p>
    <w:p w:rsidR="00513392" w:rsidRPr="00513392" w:rsidRDefault="00513392" w:rsidP="00513392">
      <w:pPr>
        <w:spacing w:before="120" w:after="120"/>
        <w:jc w:val="both"/>
        <w:rPr>
          <w:rFonts w:ascii="Calibri" w:hAnsi="Calibri" w:cs="Arial"/>
          <w:sz w:val="22"/>
          <w:szCs w:val="22"/>
        </w:rPr>
      </w:pPr>
      <w:r w:rsidRPr="00513392">
        <w:rPr>
          <w:rFonts w:ascii="Calibri" w:hAnsi="Calibri" w:cs="Arial"/>
          <w:sz w:val="22"/>
          <w:szCs w:val="22"/>
        </w:rPr>
        <w:t xml:space="preserve">There are currently seven risks that have been identified as having a potential impact on the ability to deliver the Strategic Plan. Of these risks, two have been identified as significant and are currently outside of the Council’s risk appetite: the resilience of teams to effectively respond to further serious disruption to services (following the </w:t>
      </w:r>
      <w:r w:rsidR="00746455">
        <w:rPr>
          <w:rFonts w:ascii="Calibri" w:hAnsi="Calibri" w:cs="Arial"/>
          <w:sz w:val="22"/>
          <w:szCs w:val="22"/>
        </w:rPr>
        <w:t>p</w:t>
      </w:r>
      <w:r w:rsidRPr="00513392">
        <w:rPr>
          <w:rFonts w:ascii="Calibri" w:hAnsi="Calibri" w:cs="Arial"/>
          <w:sz w:val="22"/>
          <w:szCs w:val="22"/>
        </w:rPr>
        <w:t xml:space="preserve">andemic) and pressures on the availability of finance. The Council is continually working to mitigate and reduce these risks, accepting that much of the cause is outside of the Council’s direct control. </w:t>
      </w:r>
    </w:p>
    <w:p w:rsidR="00253D21" w:rsidRPr="00B65813" w:rsidRDefault="00253D21" w:rsidP="00253D21">
      <w:pPr>
        <w:spacing w:before="120" w:after="120"/>
        <w:jc w:val="both"/>
        <w:rPr>
          <w:rFonts w:ascii="Calibri" w:hAnsi="Calibri" w:cs="Arial"/>
          <w:sz w:val="22"/>
          <w:szCs w:val="22"/>
        </w:rPr>
      </w:pPr>
      <w:r w:rsidRPr="00B65813">
        <w:rPr>
          <w:rFonts w:ascii="Calibri" w:hAnsi="Calibri" w:cs="Arial"/>
          <w:sz w:val="22"/>
          <w:szCs w:val="22"/>
        </w:rPr>
        <w:t xml:space="preserve">All reports requiring a decision include a risk assessment section. </w:t>
      </w:r>
    </w:p>
    <w:p w:rsidR="00825B01" w:rsidRDefault="00253D21" w:rsidP="00253D21">
      <w:pPr>
        <w:spacing w:before="120" w:after="120"/>
        <w:jc w:val="both"/>
        <w:rPr>
          <w:rFonts w:ascii="Calibri" w:hAnsi="Calibri" w:cs="Arial"/>
          <w:sz w:val="22"/>
          <w:szCs w:val="22"/>
        </w:rPr>
      </w:pPr>
      <w:r w:rsidRPr="00B65813">
        <w:rPr>
          <w:rFonts w:ascii="Calibri" w:hAnsi="Calibri" w:cs="Arial"/>
          <w:sz w:val="22"/>
          <w:szCs w:val="22"/>
        </w:rPr>
        <w:t>The Council continues to manage and monitor the effectiveness of its health, safety and insurance management system</w:t>
      </w:r>
      <w:r w:rsidRPr="00665F14">
        <w:rPr>
          <w:rFonts w:ascii="Calibri" w:hAnsi="Calibri" w:cs="Arial"/>
          <w:sz w:val="22"/>
          <w:szCs w:val="22"/>
        </w:rPr>
        <w:t xml:space="preserve">. </w:t>
      </w:r>
      <w:r w:rsidR="00665F14" w:rsidRPr="00665F14">
        <w:rPr>
          <w:rFonts w:ascii="Calibri" w:hAnsi="Calibri" w:cs="Arial"/>
          <w:sz w:val="22"/>
          <w:szCs w:val="22"/>
        </w:rPr>
        <w:t>Each year</w:t>
      </w:r>
      <w:r w:rsidRPr="00665F14">
        <w:rPr>
          <w:rFonts w:ascii="Calibri" w:hAnsi="Calibri" w:cs="Arial"/>
          <w:sz w:val="22"/>
          <w:szCs w:val="22"/>
        </w:rPr>
        <w:t xml:space="preserve">, the annual Health and Safety Performance Report was presented to Leadership Team and Employment Committee. This report is a statistical snapshot of accidents and </w:t>
      </w:r>
      <w:r w:rsidRPr="00665F14">
        <w:rPr>
          <w:rFonts w:ascii="Calibri" w:hAnsi="Calibri" w:cs="Arial"/>
          <w:sz w:val="22"/>
          <w:szCs w:val="22"/>
        </w:rPr>
        <w:lastRenderedPageBreak/>
        <w:t xml:space="preserve">insurance claims, in addition to providing a review of the corporate health and safety training programme, detailing changes to operating procedures and emerging challenges. </w:t>
      </w:r>
    </w:p>
    <w:p w:rsidR="00825B01" w:rsidRDefault="00253D21" w:rsidP="00253D21">
      <w:pPr>
        <w:spacing w:before="120" w:after="120"/>
        <w:jc w:val="both"/>
        <w:rPr>
          <w:rFonts w:ascii="Calibri" w:hAnsi="Calibri" w:cs="Arial"/>
          <w:sz w:val="22"/>
          <w:szCs w:val="22"/>
        </w:rPr>
      </w:pPr>
      <w:r w:rsidRPr="00665F14">
        <w:rPr>
          <w:rFonts w:ascii="Calibri" w:hAnsi="Calibri" w:cs="Arial"/>
          <w:sz w:val="22"/>
          <w:szCs w:val="22"/>
        </w:rPr>
        <w:t>The Council has an ‘Acceptable Use Policy’ for IT (adopted</w:t>
      </w:r>
      <w:r w:rsidRPr="00B65813">
        <w:rPr>
          <w:rFonts w:ascii="Calibri" w:hAnsi="Calibri" w:cs="Arial"/>
          <w:sz w:val="22"/>
          <w:szCs w:val="22"/>
        </w:rPr>
        <w:t xml:space="preserve"> during 2018/19). </w:t>
      </w:r>
      <w:r w:rsidR="00D86C98">
        <w:rPr>
          <w:rFonts w:ascii="Calibri" w:hAnsi="Calibri" w:cs="Arial"/>
          <w:sz w:val="22"/>
          <w:szCs w:val="22"/>
        </w:rPr>
        <w:t xml:space="preserve">Its </w:t>
      </w:r>
      <w:r w:rsidRPr="00B65813">
        <w:rPr>
          <w:rFonts w:ascii="Calibri" w:hAnsi="Calibri" w:cs="Arial"/>
          <w:sz w:val="22"/>
          <w:szCs w:val="22"/>
        </w:rPr>
        <w:t>purpose is to ensure that all computer systems and networks owned or managed by the Council are updated in an effective, safe, ethical and lawful manner, and it is the responsibility of every computer user to know these requirements and to comply with them. The Policy applies to every person authorised to access the Council’s IT equipment, systems or networks</w:t>
      </w:r>
      <w:r w:rsidR="00825B01">
        <w:rPr>
          <w:rFonts w:ascii="Calibri" w:hAnsi="Calibri" w:cs="Arial"/>
          <w:sz w:val="22"/>
          <w:szCs w:val="22"/>
        </w:rPr>
        <w:t>.</w:t>
      </w:r>
    </w:p>
    <w:p w:rsidR="00253D21" w:rsidRPr="00B65813" w:rsidRDefault="00253D21" w:rsidP="00253D21">
      <w:pPr>
        <w:spacing w:before="120" w:after="120"/>
        <w:jc w:val="both"/>
        <w:rPr>
          <w:rFonts w:ascii="Calibri" w:hAnsi="Calibri" w:cs="Arial"/>
          <w:sz w:val="22"/>
          <w:szCs w:val="22"/>
        </w:rPr>
      </w:pPr>
      <w:r w:rsidRPr="00B65813">
        <w:rPr>
          <w:rFonts w:ascii="Calibri" w:hAnsi="Calibri" w:cs="Arial"/>
          <w:sz w:val="22"/>
          <w:szCs w:val="22"/>
        </w:rPr>
        <w:t>The Council’s Contract Procedure Rules and Financial Procedure Rules form part of the Governance Framework. These are the rules set by the Council to regulate its internal procedures for the conduct of its business, in addition to how it spends money and records transactions. They form part of the Council’s Constitution. Any amendments to them are subject to approval by Full Council.</w:t>
      </w:r>
    </w:p>
    <w:p w:rsidR="002F2CD2" w:rsidRDefault="00D86C98" w:rsidP="00253D21">
      <w:pPr>
        <w:spacing w:before="120" w:after="120"/>
        <w:jc w:val="both"/>
        <w:rPr>
          <w:rFonts w:ascii="Calibri" w:hAnsi="Calibri" w:cs="Arial"/>
          <w:sz w:val="22"/>
          <w:szCs w:val="22"/>
        </w:rPr>
      </w:pPr>
      <w:r>
        <w:rPr>
          <w:rFonts w:ascii="Calibri" w:hAnsi="Calibri" w:cs="Arial"/>
          <w:sz w:val="22"/>
          <w:szCs w:val="22"/>
        </w:rPr>
        <w:t xml:space="preserve">Both </w:t>
      </w:r>
      <w:r w:rsidR="002F2CD2">
        <w:rPr>
          <w:rFonts w:ascii="Calibri" w:hAnsi="Calibri" w:cs="Arial"/>
          <w:sz w:val="22"/>
          <w:szCs w:val="22"/>
        </w:rPr>
        <w:t xml:space="preserve">are currently being reviewed and </w:t>
      </w:r>
      <w:r w:rsidR="00DC6BD4" w:rsidRPr="00DA4896">
        <w:rPr>
          <w:rFonts w:ascii="Calibri" w:hAnsi="Calibri" w:cs="Arial"/>
          <w:sz w:val="22"/>
          <w:szCs w:val="22"/>
        </w:rPr>
        <w:t>updated</w:t>
      </w:r>
      <w:r>
        <w:rPr>
          <w:rFonts w:ascii="Calibri" w:hAnsi="Calibri" w:cs="Arial"/>
          <w:sz w:val="22"/>
          <w:szCs w:val="22"/>
        </w:rPr>
        <w:t xml:space="preserve">. They </w:t>
      </w:r>
      <w:r w:rsidR="002F2CD2">
        <w:rPr>
          <w:rFonts w:ascii="Calibri" w:hAnsi="Calibri" w:cs="Arial"/>
          <w:sz w:val="22"/>
          <w:szCs w:val="22"/>
        </w:rPr>
        <w:t xml:space="preserve">will be </w:t>
      </w:r>
      <w:r w:rsidR="00DA4896" w:rsidRPr="00DA4896">
        <w:rPr>
          <w:rFonts w:ascii="Calibri" w:hAnsi="Calibri" w:cs="Arial"/>
          <w:sz w:val="22"/>
          <w:szCs w:val="22"/>
        </w:rPr>
        <w:t xml:space="preserve">approved by </w:t>
      </w:r>
      <w:r w:rsidR="00DC6BD4" w:rsidRPr="00DA4896">
        <w:rPr>
          <w:rFonts w:ascii="Calibri" w:hAnsi="Calibri" w:cs="Arial"/>
          <w:sz w:val="22"/>
          <w:szCs w:val="22"/>
        </w:rPr>
        <w:t xml:space="preserve">Audit and Member Standards Committee </w:t>
      </w:r>
      <w:r w:rsidR="002F2CD2">
        <w:rPr>
          <w:rFonts w:ascii="Calibri" w:hAnsi="Calibri" w:cs="Arial"/>
          <w:sz w:val="22"/>
          <w:szCs w:val="22"/>
        </w:rPr>
        <w:t>and Full Council in due course</w:t>
      </w:r>
      <w:r w:rsidR="00DA4896" w:rsidRPr="00DA4896">
        <w:rPr>
          <w:rFonts w:ascii="Calibri" w:hAnsi="Calibri" w:cs="Arial"/>
          <w:sz w:val="22"/>
          <w:szCs w:val="22"/>
        </w:rPr>
        <w:t>.</w:t>
      </w:r>
      <w:r w:rsidR="00253D21" w:rsidRPr="00DA4896">
        <w:rPr>
          <w:rFonts w:ascii="Calibri" w:hAnsi="Calibri" w:cs="Arial"/>
          <w:sz w:val="22"/>
          <w:szCs w:val="22"/>
        </w:rPr>
        <w:t xml:space="preserve"> </w:t>
      </w:r>
      <w:r w:rsidR="00DA4896" w:rsidRPr="00DA4896">
        <w:rPr>
          <w:rFonts w:ascii="Calibri" w:hAnsi="Calibri" w:cs="Arial"/>
          <w:sz w:val="22"/>
          <w:szCs w:val="22"/>
        </w:rPr>
        <w:t>A copy of both documents</w:t>
      </w:r>
      <w:r w:rsidR="00746455">
        <w:rPr>
          <w:rFonts w:ascii="Calibri" w:hAnsi="Calibri" w:cs="Arial"/>
          <w:sz w:val="22"/>
          <w:szCs w:val="22"/>
        </w:rPr>
        <w:t xml:space="preserve"> as they currently stand</w:t>
      </w:r>
      <w:r w:rsidR="00DA4896" w:rsidRPr="00DA4896">
        <w:rPr>
          <w:rFonts w:ascii="Calibri" w:hAnsi="Calibri" w:cs="Arial"/>
          <w:sz w:val="22"/>
          <w:szCs w:val="22"/>
        </w:rPr>
        <w:t xml:space="preserve"> can </w:t>
      </w:r>
      <w:r w:rsidR="00253D21" w:rsidRPr="00DA4896">
        <w:rPr>
          <w:rFonts w:ascii="Calibri" w:hAnsi="Calibri" w:cs="Arial"/>
          <w:sz w:val="22"/>
          <w:szCs w:val="22"/>
        </w:rPr>
        <w:t xml:space="preserve">be found within the Constitution.  </w:t>
      </w:r>
    </w:p>
    <w:p w:rsidR="00253D21" w:rsidRPr="00B65813" w:rsidRDefault="00253D21" w:rsidP="00253D21">
      <w:pPr>
        <w:spacing w:before="120" w:after="120"/>
        <w:jc w:val="both"/>
        <w:rPr>
          <w:rFonts w:ascii="Calibri" w:hAnsi="Calibri" w:cs="Arial"/>
          <w:sz w:val="22"/>
          <w:szCs w:val="22"/>
        </w:rPr>
      </w:pPr>
      <w:r w:rsidRPr="00B65813">
        <w:rPr>
          <w:rFonts w:ascii="Calibri" w:hAnsi="Calibri" w:cs="Arial"/>
          <w:sz w:val="22"/>
          <w:szCs w:val="22"/>
        </w:rPr>
        <w:t>The Head of Finance and Procurement is designated as the Chief Financial Officer in accordance with Section 151 of the Local Government Act 1972.</w:t>
      </w:r>
    </w:p>
    <w:p w:rsidR="00253D21" w:rsidRPr="00B65813" w:rsidRDefault="00253D21" w:rsidP="00253D21">
      <w:pPr>
        <w:spacing w:before="120" w:after="120"/>
        <w:jc w:val="both"/>
        <w:rPr>
          <w:rFonts w:ascii="Calibri" w:hAnsi="Calibri" w:cs="Arial"/>
          <w:sz w:val="22"/>
          <w:szCs w:val="22"/>
        </w:rPr>
      </w:pPr>
      <w:r w:rsidRPr="00B65813">
        <w:rPr>
          <w:rFonts w:ascii="Calibri" w:hAnsi="Calibri" w:cs="Arial"/>
          <w:sz w:val="22"/>
          <w:szCs w:val="22"/>
        </w:rPr>
        <w:t>In April 2016, CIPFA/SOLACE issued an updated application note on the CIPFA Statement on the Role of the Chief Financial Officer in Local Government. The Council complies with these requirements</w:t>
      </w:r>
      <w:r w:rsidR="00746455">
        <w:rPr>
          <w:rFonts w:ascii="Calibri" w:hAnsi="Calibri" w:cs="Arial"/>
          <w:sz w:val="22"/>
          <w:szCs w:val="22"/>
        </w:rPr>
        <w:t>.</w:t>
      </w:r>
      <w:r w:rsidRPr="00B65813">
        <w:rPr>
          <w:rFonts w:ascii="Calibri" w:hAnsi="Calibri" w:cs="Arial"/>
          <w:sz w:val="22"/>
          <w:szCs w:val="22"/>
        </w:rPr>
        <w:t xml:space="preserve"> The Chief Financial Officer is:</w:t>
      </w:r>
    </w:p>
    <w:p w:rsidR="00253D21" w:rsidRPr="004B0E7A" w:rsidRDefault="00253D21" w:rsidP="004B0E7A">
      <w:pPr>
        <w:numPr>
          <w:ilvl w:val="0"/>
          <w:numId w:val="13"/>
        </w:numPr>
        <w:spacing w:before="120" w:after="120" w:line="252" w:lineRule="auto"/>
        <w:contextualSpacing/>
        <w:jc w:val="both"/>
        <w:rPr>
          <w:rFonts w:ascii="Calibri" w:eastAsiaTheme="minorHAnsi" w:hAnsi="Calibri" w:cs="Calibri"/>
          <w:sz w:val="22"/>
          <w:szCs w:val="22"/>
        </w:rPr>
      </w:pPr>
      <w:r w:rsidRPr="004B0E7A">
        <w:rPr>
          <w:rFonts w:ascii="Calibri" w:eastAsiaTheme="minorHAnsi" w:hAnsi="Calibri" w:cs="Calibri"/>
          <w:sz w:val="22"/>
          <w:szCs w:val="22"/>
        </w:rPr>
        <w:t>A key member of the Leadership Team</w:t>
      </w:r>
    </w:p>
    <w:p w:rsidR="00253D21" w:rsidRPr="004B0E7A" w:rsidRDefault="00253D21" w:rsidP="004B0E7A">
      <w:pPr>
        <w:numPr>
          <w:ilvl w:val="0"/>
          <w:numId w:val="13"/>
        </w:numPr>
        <w:spacing w:before="120" w:after="120" w:line="252" w:lineRule="auto"/>
        <w:contextualSpacing/>
        <w:jc w:val="both"/>
        <w:rPr>
          <w:rFonts w:ascii="Calibri" w:eastAsiaTheme="minorHAnsi" w:hAnsi="Calibri" w:cs="Calibri"/>
          <w:sz w:val="22"/>
          <w:szCs w:val="22"/>
        </w:rPr>
      </w:pPr>
      <w:r w:rsidRPr="004B0E7A">
        <w:rPr>
          <w:rFonts w:ascii="Calibri" w:eastAsiaTheme="minorHAnsi" w:hAnsi="Calibri" w:cs="Calibri"/>
          <w:sz w:val="22"/>
          <w:szCs w:val="22"/>
        </w:rPr>
        <w:t>Actively involved in, and able to bring influence to bear on, all material business decisions to ensure alignment with the Authority’s financial strategy</w:t>
      </w:r>
    </w:p>
    <w:p w:rsidR="00253D21" w:rsidRPr="004B0E7A" w:rsidRDefault="00253D21" w:rsidP="004B0E7A">
      <w:pPr>
        <w:numPr>
          <w:ilvl w:val="0"/>
          <w:numId w:val="13"/>
        </w:numPr>
        <w:spacing w:before="120" w:after="120" w:line="252" w:lineRule="auto"/>
        <w:contextualSpacing/>
        <w:jc w:val="both"/>
        <w:rPr>
          <w:rFonts w:ascii="Calibri" w:eastAsiaTheme="minorHAnsi" w:hAnsi="Calibri" w:cs="Calibri"/>
          <w:sz w:val="22"/>
          <w:szCs w:val="22"/>
        </w:rPr>
      </w:pPr>
      <w:r w:rsidRPr="004B0E7A">
        <w:rPr>
          <w:rFonts w:ascii="Calibri" w:eastAsiaTheme="minorHAnsi" w:hAnsi="Calibri" w:cs="Calibri"/>
          <w:sz w:val="22"/>
          <w:szCs w:val="22"/>
        </w:rPr>
        <w:t>The lead for the promotion and delivery, by the whole Authority, of good financial management so that public money is safeguarded at all times and used appropriately, economically, efficiently and effectively</w:t>
      </w:r>
    </w:p>
    <w:p w:rsidR="00253D21" w:rsidRPr="004B0E7A" w:rsidRDefault="00253D21" w:rsidP="004B0E7A">
      <w:pPr>
        <w:numPr>
          <w:ilvl w:val="0"/>
          <w:numId w:val="13"/>
        </w:numPr>
        <w:spacing w:before="120" w:after="120" w:line="252" w:lineRule="auto"/>
        <w:contextualSpacing/>
        <w:jc w:val="both"/>
        <w:rPr>
          <w:rFonts w:ascii="Calibri" w:eastAsiaTheme="minorHAnsi" w:hAnsi="Calibri" w:cs="Calibri"/>
          <w:sz w:val="22"/>
          <w:szCs w:val="22"/>
        </w:rPr>
      </w:pPr>
      <w:r w:rsidRPr="004B0E7A">
        <w:rPr>
          <w:rFonts w:ascii="Calibri" w:eastAsiaTheme="minorHAnsi" w:hAnsi="Calibri" w:cs="Calibri"/>
          <w:sz w:val="22"/>
          <w:szCs w:val="22"/>
        </w:rPr>
        <w:t>Professionally qualified and suitably experienced</w:t>
      </w:r>
    </w:p>
    <w:p w:rsidR="00253D21" w:rsidRPr="00B65813" w:rsidRDefault="00253D21" w:rsidP="004B0E7A">
      <w:pPr>
        <w:numPr>
          <w:ilvl w:val="0"/>
          <w:numId w:val="13"/>
        </w:numPr>
        <w:spacing w:before="120" w:after="120" w:line="252" w:lineRule="auto"/>
        <w:contextualSpacing/>
        <w:jc w:val="both"/>
        <w:rPr>
          <w:rFonts w:ascii="Calibri" w:hAnsi="Calibri" w:cs="Arial"/>
          <w:sz w:val="22"/>
          <w:szCs w:val="22"/>
        </w:rPr>
      </w:pPr>
      <w:r w:rsidRPr="004B0E7A">
        <w:rPr>
          <w:rFonts w:ascii="Calibri" w:eastAsiaTheme="minorHAnsi" w:hAnsi="Calibri" w:cs="Calibri"/>
          <w:sz w:val="22"/>
          <w:szCs w:val="22"/>
        </w:rPr>
        <w:t>Able to lead</w:t>
      </w:r>
      <w:r w:rsidRPr="00B65813">
        <w:rPr>
          <w:rFonts w:ascii="Calibri" w:hAnsi="Calibri" w:cs="Arial"/>
          <w:sz w:val="22"/>
          <w:szCs w:val="22"/>
        </w:rPr>
        <w:t xml:space="preserve"> and direct a finance function that is resourced to be fit for purpose.</w:t>
      </w:r>
    </w:p>
    <w:p w:rsidR="004B0E7A" w:rsidRDefault="004B0E7A" w:rsidP="004B0E7A">
      <w:pPr>
        <w:spacing w:before="120" w:after="120"/>
        <w:jc w:val="both"/>
        <w:rPr>
          <w:rFonts w:ascii="Calibri" w:hAnsi="Calibri" w:cs="Arial"/>
          <w:sz w:val="22"/>
          <w:szCs w:val="22"/>
        </w:rPr>
      </w:pPr>
    </w:p>
    <w:p w:rsidR="00253D21" w:rsidRPr="00B65813" w:rsidRDefault="00253D21" w:rsidP="004B0E7A">
      <w:pPr>
        <w:spacing w:before="120" w:after="120"/>
        <w:jc w:val="both"/>
        <w:rPr>
          <w:rFonts w:ascii="Calibri" w:hAnsi="Calibri" w:cs="Arial"/>
          <w:sz w:val="22"/>
          <w:szCs w:val="22"/>
        </w:rPr>
      </w:pPr>
      <w:r w:rsidRPr="00B65813">
        <w:rPr>
          <w:rFonts w:ascii="Calibri" w:hAnsi="Calibri" w:cs="Arial"/>
          <w:sz w:val="22"/>
          <w:szCs w:val="22"/>
        </w:rPr>
        <w:t>During 20</w:t>
      </w:r>
      <w:r w:rsidR="00B65813">
        <w:rPr>
          <w:rFonts w:ascii="Calibri" w:hAnsi="Calibri" w:cs="Arial"/>
          <w:sz w:val="22"/>
          <w:szCs w:val="22"/>
        </w:rPr>
        <w:t>20</w:t>
      </w:r>
      <w:r w:rsidRPr="00B65813">
        <w:rPr>
          <w:rFonts w:ascii="Calibri" w:hAnsi="Calibri" w:cs="Arial"/>
          <w:sz w:val="22"/>
          <w:szCs w:val="22"/>
        </w:rPr>
        <w:t>/2</w:t>
      </w:r>
      <w:r w:rsidR="00B65813">
        <w:rPr>
          <w:rFonts w:ascii="Calibri" w:hAnsi="Calibri" w:cs="Arial"/>
          <w:sz w:val="22"/>
          <w:szCs w:val="22"/>
        </w:rPr>
        <w:t>1</w:t>
      </w:r>
      <w:r w:rsidRPr="00B65813">
        <w:rPr>
          <w:rFonts w:ascii="Calibri" w:hAnsi="Calibri" w:cs="Arial"/>
          <w:sz w:val="22"/>
          <w:szCs w:val="22"/>
        </w:rPr>
        <w:t xml:space="preserve">, the Chief Financial Officer continued to provide effective financial management in accordance with the financial procedures and rules set out in the Constitution. </w:t>
      </w:r>
    </w:p>
    <w:p w:rsidR="00253D21" w:rsidRPr="00B65813" w:rsidRDefault="00253D21" w:rsidP="00253D21">
      <w:pPr>
        <w:spacing w:before="120" w:after="120"/>
        <w:jc w:val="both"/>
        <w:rPr>
          <w:rFonts w:ascii="Calibri" w:hAnsi="Calibri" w:cs="Arial"/>
          <w:sz w:val="22"/>
          <w:szCs w:val="22"/>
        </w:rPr>
      </w:pPr>
      <w:r w:rsidRPr="00B65813">
        <w:rPr>
          <w:rFonts w:ascii="Calibri" w:hAnsi="Calibri" w:cs="Arial"/>
          <w:sz w:val="22"/>
          <w:szCs w:val="22"/>
        </w:rPr>
        <w:t>Maintenance of an effective system of both internal and more detailed financial control is the agreed responsibility of Heads of Service and Service Managers, who are responsible for managing their services within available resources, in accordance with agreed policies and procedures, and to support the sustainable delivery of strategic priorities in the Strategic Plan and maintain statutory functions. Elements include:</w:t>
      </w:r>
    </w:p>
    <w:p w:rsidR="00253D21" w:rsidRPr="004B0E7A" w:rsidRDefault="00253D21" w:rsidP="004B0E7A">
      <w:pPr>
        <w:numPr>
          <w:ilvl w:val="0"/>
          <w:numId w:val="13"/>
        </w:numPr>
        <w:spacing w:before="120" w:after="120" w:line="252" w:lineRule="auto"/>
        <w:contextualSpacing/>
        <w:jc w:val="both"/>
        <w:rPr>
          <w:rFonts w:ascii="Calibri" w:eastAsiaTheme="minorHAnsi" w:hAnsi="Calibri" w:cs="Calibri"/>
          <w:sz w:val="22"/>
          <w:szCs w:val="22"/>
        </w:rPr>
      </w:pPr>
      <w:r w:rsidRPr="004B0E7A">
        <w:rPr>
          <w:rFonts w:ascii="Calibri" w:eastAsiaTheme="minorHAnsi" w:hAnsi="Calibri" w:cs="Calibri"/>
          <w:sz w:val="22"/>
          <w:szCs w:val="22"/>
        </w:rPr>
        <w:t>Monthly review of budgetary control information by budget holders and Heads of Service to compare expected to actual performance and to forecast going forward</w:t>
      </w:r>
    </w:p>
    <w:p w:rsidR="00253D21" w:rsidRPr="004B0E7A" w:rsidRDefault="00253D21" w:rsidP="004B0E7A">
      <w:pPr>
        <w:numPr>
          <w:ilvl w:val="0"/>
          <w:numId w:val="13"/>
        </w:numPr>
        <w:spacing w:before="120" w:after="120" w:line="252" w:lineRule="auto"/>
        <w:contextualSpacing/>
        <w:jc w:val="both"/>
        <w:rPr>
          <w:rFonts w:ascii="Calibri" w:eastAsiaTheme="minorHAnsi" w:hAnsi="Calibri" w:cs="Calibri"/>
          <w:sz w:val="22"/>
          <w:szCs w:val="22"/>
        </w:rPr>
      </w:pPr>
      <w:r w:rsidRPr="004B0E7A">
        <w:rPr>
          <w:rFonts w:ascii="Calibri" w:eastAsiaTheme="minorHAnsi" w:hAnsi="Calibri" w:cs="Calibri"/>
          <w:sz w:val="22"/>
          <w:szCs w:val="22"/>
        </w:rPr>
        <w:t>Formal budgetary monitoring reports reviewed with budget holders and Heads of Service at three, six and eight months. These look at actual performance and provide  forecasts going forward</w:t>
      </w:r>
    </w:p>
    <w:p w:rsidR="00253D21" w:rsidRPr="00B65813" w:rsidRDefault="00253D21" w:rsidP="004B0E7A">
      <w:pPr>
        <w:numPr>
          <w:ilvl w:val="0"/>
          <w:numId w:val="13"/>
        </w:numPr>
        <w:spacing w:before="120" w:after="120" w:line="252" w:lineRule="auto"/>
        <w:contextualSpacing/>
        <w:jc w:val="both"/>
        <w:rPr>
          <w:rFonts w:ascii="Calibri" w:hAnsi="Calibri" w:cs="Arial"/>
          <w:sz w:val="22"/>
          <w:szCs w:val="22"/>
        </w:rPr>
      </w:pPr>
      <w:r w:rsidRPr="004B0E7A">
        <w:rPr>
          <w:rFonts w:ascii="Calibri" w:eastAsiaTheme="minorHAnsi" w:hAnsi="Calibri" w:cs="Calibri"/>
          <w:sz w:val="22"/>
          <w:szCs w:val="22"/>
        </w:rPr>
        <w:t>Money Matters reports produced at three, six and eight months and are reviewed by Leadership</w:t>
      </w:r>
      <w:r w:rsidRPr="00B65813">
        <w:rPr>
          <w:rFonts w:ascii="Calibri" w:hAnsi="Calibri" w:cs="Arial"/>
          <w:sz w:val="22"/>
          <w:szCs w:val="22"/>
        </w:rPr>
        <w:t xml:space="preserve"> Team and reported to Overview and Scrutiny, Cabinet and Full Council. </w:t>
      </w:r>
    </w:p>
    <w:p w:rsidR="004B0E7A" w:rsidRDefault="004B0E7A" w:rsidP="00253D21">
      <w:pPr>
        <w:spacing w:before="120" w:after="120"/>
        <w:jc w:val="both"/>
        <w:rPr>
          <w:rFonts w:ascii="Calibri" w:hAnsi="Calibri" w:cs="Arial"/>
          <w:sz w:val="22"/>
          <w:szCs w:val="22"/>
        </w:rPr>
      </w:pPr>
    </w:p>
    <w:p w:rsidR="00253D21" w:rsidRPr="00254449" w:rsidRDefault="00253D21" w:rsidP="00253D21">
      <w:pPr>
        <w:spacing w:before="120" w:after="120"/>
        <w:jc w:val="both"/>
        <w:rPr>
          <w:rFonts w:ascii="Calibri" w:hAnsi="Calibri" w:cs="Arial"/>
          <w:sz w:val="22"/>
          <w:szCs w:val="22"/>
        </w:rPr>
      </w:pPr>
      <w:r w:rsidRPr="00254449">
        <w:rPr>
          <w:rFonts w:ascii="Calibri" w:hAnsi="Calibri" w:cs="Arial"/>
          <w:sz w:val="22"/>
          <w:szCs w:val="22"/>
        </w:rPr>
        <w:t xml:space="preserve">In December 2019, CIPFA introduced a Financial Management Code. The driver for this was the exceptional financial circumstances faced by local authorities, having revealed concerns about fundamental weaknesses in financial management, particularly in relation to organisations that may </w:t>
      </w:r>
      <w:r w:rsidRPr="00254449">
        <w:rPr>
          <w:rFonts w:ascii="Calibri" w:hAnsi="Calibri" w:cs="Arial"/>
          <w:sz w:val="22"/>
          <w:szCs w:val="22"/>
        </w:rPr>
        <w:lastRenderedPageBreak/>
        <w:t xml:space="preserve">be unable to maintain services in the future. The Code is designed to support good practice in financial management and to assist local authorities in demonstrating their financial sustainability. For the first time it sets out the standards of financial management for local authorities.  </w:t>
      </w:r>
    </w:p>
    <w:p w:rsidR="00253D21" w:rsidRPr="00254449" w:rsidRDefault="00253D21" w:rsidP="00253D21">
      <w:pPr>
        <w:spacing w:before="120" w:after="120"/>
        <w:jc w:val="both"/>
        <w:rPr>
          <w:rFonts w:ascii="Calibri" w:hAnsi="Calibri" w:cs="Arial"/>
          <w:sz w:val="22"/>
          <w:szCs w:val="22"/>
        </w:rPr>
      </w:pPr>
      <w:r w:rsidRPr="00254449">
        <w:rPr>
          <w:rFonts w:ascii="Calibri" w:hAnsi="Calibri" w:cs="Arial"/>
          <w:sz w:val="22"/>
          <w:szCs w:val="22"/>
        </w:rPr>
        <w:t>The underlying principles that inform the Code have been developed in consultation with senior practitioners from local authorities and associated stakeholders. Each local authority must demonstrate that the requirements of the Code are being satisfied. This is a collective responsibility of elected Members, the CFO and their professional colleagues in the Leadership Team.</w:t>
      </w:r>
    </w:p>
    <w:p w:rsidR="00253D21" w:rsidRPr="008763D6" w:rsidRDefault="00253D21" w:rsidP="00253D21">
      <w:pPr>
        <w:spacing w:before="120" w:after="120"/>
        <w:jc w:val="both"/>
        <w:rPr>
          <w:rFonts w:ascii="Calibri" w:hAnsi="Calibri" w:cs="Arial"/>
          <w:sz w:val="22"/>
          <w:szCs w:val="22"/>
        </w:rPr>
      </w:pPr>
      <w:r w:rsidRPr="00254449">
        <w:rPr>
          <w:rFonts w:ascii="Calibri" w:hAnsi="Calibri" w:cs="Arial"/>
          <w:sz w:val="22"/>
          <w:szCs w:val="22"/>
        </w:rPr>
        <w:t xml:space="preserve">The Financial Management Code is to be applied from 1 April 2020, with the first year, 2020/21, being a </w:t>
      </w:r>
      <w:r w:rsidRPr="008763D6">
        <w:rPr>
          <w:rFonts w:ascii="Calibri" w:hAnsi="Calibri" w:cs="Arial"/>
          <w:sz w:val="22"/>
          <w:szCs w:val="22"/>
        </w:rPr>
        <w:t>shadow year where local authorities should be able to demonstrate they are working towards full implementation for the first full year of compliance in 2021/22.</w:t>
      </w:r>
    </w:p>
    <w:p w:rsidR="00254449" w:rsidRPr="00254449" w:rsidRDefault="00254449" w:rsidP="00253D21">
      <w:pPr>
        <w:spacing w:before="120" w:after="120"/>
        <w:jc w:val="both"/>
        <w:rPr>
          <w:rFonts w:ascii="Calibri" w:hAnsi="Calibri" w:cs="Arial"/>
          <w:sz w:val="22"/>
          <w:szCs w:val="22"/>
        </w:rPr>
      </w:pPr>
      <w:r w:rsidRPr="008763D6">
        <w:rPr>
          <w:rFonts w:ascii="Calibri" w:hAnsi="Calibri" w:cs="Arial"/>
          <w:sz w:val="22"/>
          <w:szCs w:val="22"/>
        </w:rPr>
        <w:t>The Council took a report</w:t>
      </w:r>
      <w:r w:rsidR="0054412E" w:rsidRPr="008763D6">
        <w:rPr>
          <w:rFonts w:ascii="Calibri" w:hAnsi="Calibri" w:cs="Arial"/>
          <w:sz w:val="22"/>
          <w:szCs w:val="22"/>
        </w:rPr>
        <w:t xml:space="preserve"> </w:t>
      </w:r>
      <w:r w:rsidR="008763D6" w:rsidRPr="008763D6">
        <w:rPr>
          <w:rFonts w:ascii="Calibri" w:hAnsi="Calibri" w:cs="Arial"/>
          <w:sz w:val="22"/>
          <w:szCs w:val="22"/>
        </w:rPr>
        <w:t xml:space="preserve">on the Financial Management Code </w:t>
      </w:r>
      <w:r w:rsidR="0054412E" w:rsidRPr="008763D6">
        <w:rPr>
          <w:rFonts w:ascii="Calibri" w:hAnsi="Calibri" w:cs="Arial"/>
          <w:sz w:val="22"/>
          <w:szCs w:val="22"/>
        </w:rPr>
        <w:t xml:space="preserve">to </w:t>
      </w:r>
      <w:r w:rsidR="008763D6" w:rsidRPr="008763D6">
        <w:rPr>
          <w:rFonts w:ascii="Calibri" w:hAnsi="Calibri" w:cs="Arial"/>
          <w:sz w:val="22"/>
          <w:szCs w:val="22"/>
        </w:rPr>
        <w:t xml:space="preserve">Leadership Team and then to </w:t>
      </w:r>
      <w:r w:rsidR="0054412E" w:rsidRPr="008763D6">
        <w:rPr>
          <w:rFonts w:ascii="Calibri" w:hAnsi="Calibri" w:cs="Arial"/>
          <w:sz w:val="22"/>
          <w:szCs w:val="22"/>
        </w:rPr>
        <w:t>Audit and Member Standards Committee</w:t>
      </w:r>
      <w:r w:rsidR="008763D6" w:rsidRPr="008763D6">
        <w:rPr>
          <w:rFonts w:ascii="Calibri" w:hAnsi="Calibri" w:cs="Arial"/>
          <w:sz w:val="22"/>
          <w:szCs w:val="22"/>
        </w:rPr>
        <w:t xml:space="preserve"> in November</w:t>
      </w:r>
      <w:r w:rsidRPr="008763D6">
        <w:rPr>
          <w:rFonts w:ascii="Calibri" w:hAnsi="Calibri" w:cs="Arial"/>
          <w:sz w:val="22"/>
          <w:szCs w:val="22"/>
        </w:rPr>
        <w:t xml:space="preserve"> </w:t>
      </w:r>
      <w:r w:rsidR="008763D6" w:rsidRPr="008763D6">
        <w:rPr>
          <w:rFonts w:ascii="Calibri" w:hAnsi="Calibri" w:cs="Arial"/>
          <w:sz w:val="22"/>
          <w:szCs w:val="22"/>
        </w:rPr>
        <w:t>2020. This report included an appendix detailing CFO’s assessed level of compliance with the</w:t>
      </w:r>
      <w:r w:rsidR="008763D6">
        <w:rPr>
          <w:rFonts w:ascii="Calibri" w:hAnsi="Calibri" w:cs="Arial"/>
          <w:sz w:val="22"/>
          <w:szCs w:val="22"/>
        </w:rPr>
        <w:t xml:space="preserve"> Code at October 2020. This assessment did not highlight any areas of concern.</w:t>
      </w:r>
    </w:p>
    <w:p w:rsidR="00253D21" w:rsidRPr="00230958" w:rsidRDefault="00253D21" w:rsidP="00253D21">
      <w:pPr>
        <w:spacing w:before="120" w:after="120"/>
        <w:jc w:val="both"/>
        <w:rPr>
          <w:rFonts w:ascii="Calibri" w:hAnsi="Calibri" w:cs="Arial"/>
          <w:sz w:val="22"/>
          <w:szCs w:val="22"/>
        </w:rPr>
      </w:pPr>
      <w:r w:rsidRPr="00B65813">
        <w:rPr>
          <w:rFonts w:ascii="Calibri" w:hAnsi="Calibri" w:cs="Arial"/>
          <w:sz w:val="22"/>
          <w:szCs w:val="22"/>
        </w:rPr>
        <w:t xml:space="preserve">We have an Audit and Member Standards Committee that is independent of the Executive and accountable to the governing body. This provides a further source of effective assurance regarding arrangements for managing risk and maintaining an effective control environment. We ensure that its </w:t>
      </w:r>
      <w:r w:rsidRPr="00230958">
        <w:rPr>
          <w:rFonts w:ascii="Calibri" w:hAnsi="Calibri" w:cs="Arial"/>
          <w:sz w:val="22"/>
          <w:szCs w:val="22"/>
        </w:rPr>
        <w:t>recommendations are listened to and acted upon.</w:t>
      </w:r>
    </w:p>
    <w:p w:rsidR="00253D21" w:rsidRDefault="00253D21" w:rsidP="00253D21">
      <w:pPr>
        <w:spacing w:before="120" w:after="120"/>
        <w:jc w:val="both"/>
        <w:rPr>
          <w:rFonts w:ascii="Calibri" w:hAnsi="Calibri" w:cs="Arial"/>
          <w:sz w:val="22"/>
          <w:szCs w:val="22"/>
        </w:rPr>
      </w:pPr>
      <w:r w:rsidRPr="00230958">
        <w:rPr>
          <w:rFonts w:ascii="Calibri" w:hAnsi="Calibri" w:cs="Arial"/>
          <w:sz w:val="22"/>
          <w:szCs w:val="22"/>
        </w:rPr>
        <w:t>As part of the annual Audit Plan, Internal Audit completed fraud awareness and proactive fraud work in accordance with fraud risks identified, adhering to the CIPFA Code of Practice for Managing the Risk of Fraud. The conclusion of this work for 20</w:t>
      </w:r>
      <w:r w:rsidR="00230958" w:rsidRPr="00230958">
        <w:rPr>
          <w:rFonts w:ascii="Calibri" w:hAnsi="Calibri" w:cs="Arial"/>
          <w:sz w:val="22"/>
          <w:szCs w:val="22"/>
        </w:rPr>
        <w:t>20</w:t>
      </w:r>
      <w:r w:rsidRPr="00230958">
        <w:rPr>
          <w:rFonts w:ascii="Calibri" w:hAnsi="Calibri" w:cs="Arial"/>
          <w:sz w:val="22"/>
          <w:szCs w:val="22"/>
        </w:rPr>
        <w:t>/2</w:t>
      </w:r>
      <w:r w:rsidR="00230958" w:rsidRPr="00230958">
        <w:rPr>
          <w:rFonts w:ascii="Calibri" w:hAnsi="Calibri" w:cs="Arial"/>
          <w:sz w:val="22"/>
          <w:szCs w:val="22"/>
        </w:rPr>
        <w:t>1</w:t>
      </w:r>
      <w:r w:rsidRPr="00230958">
        <w:rPr>
          <w:rFonts w:ascii="Calibri" w:hAnsi="Calibri" w:cs="Arial"/>
          <w:sz w:val="22"/>
          <w:szCs w:val="22"/>
        </w:rPr>
        <w:t xml:space="preserve"> is that the Authority has adopted a response that is appropriate for its fraud and corruption risks and commits to maintain its vigilance to tackle fraud.</w:t>
      </w:r>
    </w:p>
    <w:p w:rsidR="00F10F3D" w:rsidRPr="00230958" w:rsidRDefault="00F10F3D" w:rsidP="00253D21">
      <w:pPr>
        <w:spacing w:before="120" w:after="120"/>
        <w:jc w:val="both"/>
        <w:rPr>
          <w:rFonts w:ascii="Calibri" w:hAnsi="Calibri" w:cs="Arial"/>
          <w:sz w:val="22"/>
          <w:szCs w:val="22"/>
        </w:rPr>
      </w:pPr>
      <w:r>
        <w:rPr>
          <w:rFonts w:ascii="Calibri" w:hAnsi="Calibri" w:cs="Arial"/>
          <w:sz w:val="22"/>
          <w:szCs w:val="22"/>
        </w:rPr>
        <w:t>During 2020/21, the Audit and Member Standards Committee approved the Counter Fraud Framework.</w:t>
      </w:r>
    </w:p>
    <w:p w:rsidR="00253D21" w:rsidRDefault="00253D21" w:rsidP="00253D21">
      <w:pPr>
        <w:spacing w:before="120" w:after="120"/>
        <w:jc w:val="both"/>
        <w:rPr>
          <w:rFonts w:ascii="Calibri" w:hAnsi="Calibri" w:cs="Arial"/>
          <w:sz w:val="22"/>
          <w:szCs w:val="22"/>
        </w:rPr>
      </w:pPr>
      <w:r w:rsidRPr="00B65813">
        <w:rPr>
          <w:rFonts w:ascii="Calibri" w:hAnsi="Calibri" w:cs="Arial"/>
          <w:sz w:val="22"/>
          <w:szCs w:val="22"/>
        </w:rPr>
        <w:t>Over the last couple of years changes have been made to the way our Overview and Scrutiny function operates. Examples of these changes include the greater use of briefing papers and lighter agendas. Various Task and Finish Groups with commencement dates throughout the year have also been established</w:t>
      </w:r>
      <w:r w:rsidR="00780A83">
        <w:rPr>
          <w:rFonts w:ascii="Calibri" w:hAnsi="Calibri" w:cs="Arial"/>
          <w:sz w:val="22"/>
          <w:szCs w:val="22"/>
        </w:rPr>
        <w:t xml:space="preserve"> (see earlier comments in Section </w:t>
      </w:r>
      <w:r w:rsidR="00CB35AD">
        <w:rPr>
          <w:rFonts w:ascii="Calibri" w:hAnsi="Calibri" w:cs="Arial"/>
          <w:sz w:val="22"/>
          <w:szCs w:val="22"/>
        </w:rPr>
        <w:t>B</w:t>
      </w:r>
      <w:r w:rsidR="00780A83">
        <w:rPr>
          <w:rFonts w:ascii="Calibri" w:hAnsi="Calibri" w:cs="Arial"/>
          <w:sz w:val="22"/>
          <w:szCs w:val="22"/>
        </w:rPr>
        <w:t>)</w:t>
      </w:r>
      <w:r w:rsidRPr="00B65813">
        <w:rPr>
          <w:rFonts w:ascii="Calibri" w:hAnsi="Calibri" w:cs="Arial"/>
          <w:sz w:val="22"/>
          <w:szCs w:val="22"/>
        </w:rPr>
        <w:t xml:space="preserve">. A Coordinating Group has been set up that agreed </w:t>
      </w:r>
      <w:r w:rsidRPr="00194CE0">
        <w:rPr>
          <w:rFonts w:ascii="Calibri" w:hAnsi="Calibri" w:cs="Arial"/>
          <w:sz w:val="22"/>
          <w:szCs w:val="22"/>
        </w:rPr>
        <w:t xml:space="preserve">that all work should be to aid Cabinet Members and Heads of Service meet their targets. </w:t>
      </w:r>
      <w:r w:rsidR="001E0393" w:rsidRPr="00194CE0">
        <w:rPr>
          <w:rFonts w:ascii="Calibri" w:hAnsi="Calibri" w:cs="Arial"/>
          <w:sz w:val="22"/>
          <w:szCs w:val="22"/>
        </w:rPr>
        <w:t>These structures have been subject to a review following a member task group set up in late 2020 and further changes are proposed to bring in a single Overview and Scrutiny Committee in 2021 if approved by Council.</w:t>
      </w:r>
    </w:p>
    <w:p w:rsidR="00C83CD9" w:rsidRPr="00B65813" w:rsidRDefault="00C83CD9" w:rsidP="00F4676B">
      <w:pPr>
        <w:spacing w:before="120" w:after="120"/>
        <w:jc w:val="both"/>
        <w:rPr>
          <w:rFonts w:ascii="Calibri" w:hAnsi="Calibri" w:cs="Arial"/>
          <w:sz w:val="22"/>
          <w:szCs w:val="22"/>
        </w:rPr>
      </w:pPr>
      <w:r>
        <w:rPr>
          <w:rFonts w:ascii="Calibri" w:hAnsi="Calibri" w:cs="Arial"/>
          <w:sz w:val="22"/>
          <w:szCs w:val="22"/>
        </w:rPr>
        <w:t>During 2020/21, the Council appointed its own Procurement Team having previously bought in to services from other councils. A procurement Strategy has since been produced and approved by Cabinet.</w:t>
      </w:r>
    </w:p>
    <w:p w:rsidR="00253D21" w:rsidRPr="00B85E73" w:rsidRDefault="00253D21" w:rsidP="00F4676B">
      <w:pPr>
        <w:widowControl w:val="0"/>
        <w:pBdr>
          <w:top w:val="single" w:sz="4" w:space="2" w:color="auto"/>
          <w:left w:val="single" w:sz="4" w:space="4" w:color="auto"/>
          <w:bottom w:val="single" w:sz="4" w:space="1" w:color="auto"/>
          <w:right w:val="single" w:sz="4" w:space="4" w:color="auto"/>
        </w:pBdr>
        <w:shd w:val="clear" w:color="auto" w:fill="CAB8F6"/>
        <w:spacing w:after="120" w:line="246" w:lineRule="exact"/>
        <w:ind w:left="567" w:hanging="567"/>
        <w:jc w:val="both"/>
        <w:rPr>
          <w:rFonts w:ascii="Calibri" w:eastAsia="Arial" w:hAnsi="Calibri" w:cs="Arial"/>
          <w:b/>
          <w:bCs/>
          <w:sz w:val="22"/>
          <w:szCs w:val="22"/>
          <w:lang w:eastAsia="en-GB"/>
        </w:rPr>
      </w:pPr>
      <w:r w:rsidRPr="00B85E73">
        <w:rPr>
          <w:rFonts w:ascii="Calibri" w:eastAsia="Arial" w:hAnsi="Calibri" w:cs="Arial"/>
          <w:b/>
          <w:bCs/>
          <w:sz w:val="22"/>
          <w:szCs w:val="22"/>
          <w:lang w:eastAsia="en-GB"/>
        </w:rPr>
        <w:t>G</w:t>
      </w:r>
      <w:r w:rsidRPr="00B85E73">
        <w:rPr>
          <w:rFonts w:ascii="Calibri" w:eastAsia="Arial" w:hAnsi="Calibri" w:cs="Arial"/>
          <w:b/>
          <w:bCs/>
          <w:sz w:val="22"/>
          <w:szCs w:val="22"/>
          <w:lang w:eastAsia="en-GB"/>
        </w:rPr>
        <w:tab/>
        <w:t>Implementing Good Practices in Transparency, Reporting and Audit to Deliver Effective Accountability</w:t>
      </w:r>
    </w:p>
    <w:p w:rsidR="00253D21" w:rsidRPr="00B65813" w:rsidRDefault="00253D21" w:rsidP="00253D21">
      <w:pPr>
        <w:spacing w:before="120" w:after="120"/>
        <w:jc w:val="both"/>
        <w:rPr>
          <w:rFonts w:ascii="Calibri" w:hAnsi="Calibri" w:cs="Arial"/>
          <w:sz w:val="22"/>
          <w:szCs w:val="22"/>
        </w:rPr>
      </w:pPr>
      <w:r w:rsidRPr="00B65813">
        <w:rPr>
          <w:rFonts w:ascii="Calibri" w:hAnsi="Calibri" w:cs="Arial"/>
          <w:sz w:val="22"/>
          <w:szCs w:val="22"/>
        </w:rPr>
        <w:t>We have an effective in-house Internal Audit function with direct access to Members and which reports to the Chief Finance Officer. This service provides assurance with regard to governance arrangements and its recommendations are acted upon. For 20</w:t>
      </w:r>
      <w:r w:rsidR="00780A83">
        <w:rPr>
          <w:rFonts w:ascii="Calibri" w:hAnsi="Calibri" w:cs="Arial"/>
          <w:sz w:val="22"/>
          <w:szCs w:val="22"/>
        </w:rPr>
        <w:t>20</w:t>
      </w:r>
      <w:r w:rsidRPr="00B65813">
        <w:rPr>
          <w:rFonts w:ascii="Calibri" w:hAnsi="Calibri" w:cs="Arial"/>
          <w:sz w:val="22"/>
          <w:szCs w:val="22"/>
        </w:rPr>
        <w:t>/2</w:t>
      </w:r>
      <w:r w:rsidR="00780A83">
        <w:rPr>
          <w:rFonts w:ascii="Calibri" w:hAnsi="Calibri" w:cs="Arial"/>
          <w:sz w:val="22"/>
          <w:szCs w:val="22"/>
        </w:rPr>
        <w:t>1</w:t>
      </w:r>
      <w:r w:rsidRPr="00B65813">
        <w:rPr>
          <w:rFonts w:ascii="Calibri" w:hAnsi="Calibri" w:cs="Arial"/>
          <w:sz w:val="22"/>
          <w:szCs w:val="22"/>
        </w:rPr>
        <w:t>, Internal Audit continued to operate in accordance with the Public Sector Internal Audit Standards.</w:t>
      </w:r>
    </w:p>
    <w:p w:rsidR="00253D21" w:rsidRPr="00230958" w:rsidRDefault="00253D21" w:rsidP="00253D21">
      <w:pPr>
        <w:spacing w:before="120" w:after="120"/>
        <w:jc w:val="both"/>
        <w:rPr>
          <w:rFonts w:ascii="Calibri" w:hAnsi="Calibri" w:cs="Arial"/>
          <w:sz w:val="22"/>
          <w:szCs w:val="22"/>
        </w:rPr>
      </w:pPr>
      <w:r w:rsidRPr="00230958">
        <w:rPr>
          <w:rFonts w:ascii="Calibri" w:hAnsi="Calibri" w:cs="Arial"/>
          <w:sz w:val="22"/>
          <w:szCs w:val="22"/>
        </w:rPr>
        <w:t xml:space="preserve">An annual review of the effectiveness of the system of Internal Audit is undertaken by the </w:t>
      </w:r>
      <w:r w:rsidR="007B4217">
        <w:rPr>
          <w:rFonts w:ascii="Calibri" w:hAnsi="Calibri" w:cs="Arial"/>
          <w:sz w:val="22"/>
          <w:szCs w:val="22"/>
        </w:rPr>
        <w:t xml:space="preserve">Shared Head of </w:t>
      </w:r>
      <w:r w:rsidRPr="00230958">
        <w:rPr>
          <w:rFonts w:ascii="Calibri" w:hAnsi="Calibri" w:cs="Arial"/>
          <w:sz w:val="22"/>
          <w:szCs w:val="22"/>
        </w:rPr>
        <w:t>Audit based on the Public Sector Internal Audit Standards and using feedback from Heads of Service, the Section 151 Officer, Managers and External Audit.</w:t>
      </w:r>
    </w:p>
    <w:p w:rsidR="00253D21" w:rsidRPr="00230958" w:rsidRDefault="00253D21" w:rsidP="00253D21">
      <w:pPr>
        <w:spacing w:before="120" w:after="120"/>
        <w:jc w:val="both"/>
        <w:rPr>
          <w:rFonts w:ascii="Calibri" w:hAnsi="Calibri" w:cs="Arial"/>
          <w:sz w:val="22"/>
          <w:szCs w:val="22"/>
        </w:rPr>
      </w:pPr>
      <w:r w:rsidRPr="00230958">
        <w:rPr>
          <w:rFonts w:ascii="Calibri" w:hAnsi="Calibri" w:cs="Arial"/>
          <w:sz w:val="22"/>
          <w:szCs w:val="22"/>
        </w:rPr>
        <w:lastRenderedPageBreak/>
        <w:t>The re</w:t>
      </w:r>
      <w:bookmarkStart w:id="2" w:name="_GoBack"/>
      <w:bookmarkEnd w:id="2"/>
      <w:r w:rsidRPr="00230958">
        <w:rPr>
          <w:rFonts w:ascii="Calibri" w:hAnsi="Calibri" w:cs="Arial"/>
          <w:sz w:val="22"/>
          <w:szCs w:val="22"/>
        </w:rPr>
        <w:t>view of Internal Audit for 20</w:t>
      </w:r>
      <w:r w:rsidR="009402A2">
        <w:rPr>
          <w:rFonts w:ascii="Calibri" w:hAnsi="Calibri" w:cs="Arial"/>
          <w:sz w:val="22"/>
          <w:szCs w:val="22"/>
        </w:rPr>
        <w:t>20</w:t>
      </w:r>
      <w:r w:rsidRPr="00230958">
        <w:rPr>
          <w:rFonts w:ascii="Calibri" w:hAnsi="Calibri" w:cs="Arial"/>
          <w:sz w:val="22"/>
          <w:szCs w:val="22"/>
        </w:rPr>
        <w:t>/2</w:t>
      </w:r>
      <w:r w:rsidR="009402A2">
        <w:rPr>
          <w:rFonts w:ascii="Calibri" w:hAnsi="Calibri" w:cs="Arial"/>
          <w:sz w:val="22"/>
          <w:szCs w:val="22"/>
        </w:rPr>
        <w:t>1</w:t>
      </w:r>
      <w:r w:rsidRPr="00230958">
        <w:rPr>
          <w:rFonts w:ascii="Calibri" w:hAnsi="Calibri" w:cs="Arial"/>
          <w:sz w:val="22"/>
          <w:szCs w:val="22"/>
        </w:rPr>
        <w:t xml:space="preserve"> concluded that the Authority’s Assurance Arrangements conform to the governance requirements of the CIPFA Statement on the Role of the Head of Internal Audit 2010. The </w:t>
      </w:r>
      <w:r w:rsidR="007B4217">
        <w:rPr>
          <w:rFonts w:ascii="Calibri" w:hAnsi="Calibri" w:cs="Arial"/>
          <w:sz w:val="22"/>
          <w:szCs w:val="22"/>
        </w:rPr>
        <w:t>Shared Head of</w:t>
      </w:r>
      <w:r w:rsidRPr="00230958">
        <w:rPr>
          <w:rFonts w:ascii="Calibri" w:hAnsi="Calibri" w:cs="Arial"/>
          <w:sz w:val="22"/>
          <w:szCs w:val="22"/>
        </w:rPr>
        <w:t xml:space="preserve"> Audit fulfils this role and is professionally qualified.</w:t>
      </w:r>
    </w:p>
    <w:p w:rsidR="00253D21" w:rsidRPr="00230958" w:rsidRDefault="00253D21" w:rsidP="00253D21">
      <w:pPr>
        <w:spacing w:before="120" w:after="120"/>
        <w:jc w:val="both"/>
        <w:rPr>
          <w:rFonts w:ascii="Calibri" w:hAnsi="Calibri" w:cs="Arial"/>
          <w:sz w:val="22"/>
          <w:szCs w:val="22"/>
        </w:rPr>
      </w:pPr>
      <w:r w:rsidRPr="00230958">
        <w:rPr>
          <w:rFonts w:ascii="Calibri" w:hAnsi="Calibri" w:cs="Arial"/>
          <w:sz w:val="22"/>
          <w:szCs w:val="22"/>
        </w:rPr>
        <w:t>Our External Auditors carry out reviews of our internal control arrangements when working with us throughout the year. They have not reported any weaknesses in their updates to Audit and Member Standards Committee during 20</w:t>
      </w:r>
      <w:r w:rsidR="00230958" w:rsidRPr="00230958">
        <w:rPr>
          <w:rFonts w:ascii="Calibri" w:hAnsi="Calibri" w:cs="Arial"/>
          <w:sz w:val="22"/>
          <w:szCs w:val="22"/>
        </w:rPr>
        <w:t>20</w:t>
      </w:r>
      <w:r w:rsidRPr="00230958">
        <w:rPr>
          <w:rFonts w:ascii="Calibri" w:hAnsi="Calibri" w:cs="Arial"/>
          <w:sz w:val="22"/>
          <w:szCs w:val="22"/>
        </w:rPr>
        <w:t>/2</w:t>
      </w:r>
      <w:r w:rsidR="00230958" w:rsidRPr="00230958">
        <w:rPr>
          <w:rFonts w:ascii="Calibri" w:hAnsi="Calibri" w:cs="Arial"/>
          <w:sz w:val="22"/>
          <w:szCs w:val="22"/>
        </w:rPr>
        <w:t>1</w:t>
      </w:r>
      <w:r w:rsidRPr="00230958">
        <w:rPr>
          <w:rFonts w:ascii="Calibri" w:hAnsi="Calibri" w:cs="Arial"/>
          <w:sz w:val="22"/>
          <w:szCs w:val="22"/>
        </w:rPr>
        <w:t>.</w:t>
      </w:r>
    </w:p>
    <w:p w:rsidR="00253D21" w:rsidRPr="00B85E73" w:rsidRDefault="00253D21" w:rsidP="00F4676B">
      <w:pPr>
        <w:keepNext/>
        <w:keepLines/>
        <w:spacing w:after="120"/>
        <w:jc w:val="both"/>
        <w:rPr>
          <w:rFonts w:ascii="Calibri" w:eastAsia="Arial" w:hAnsi="Calibri" w:cs="Arial"/>
          <w:b/>
          <w:bCs/>
          <w:color w:val="006186"/>
          <w:lang w:eastAsia="en-GB" w:bidi="en-GB"/>
        </w:rPr>
      </w:pPr>
      <w:bookmarkStart w:id="3" w:name="bookmark9"/>
      <w:r w:rsidRPr="00B85E73">
        <w:rPr>
          <w:rFonts w:ascii="Calibri" w:eastAsia="Arial" w:hAnsi="Calibri" w:cs="Arial"/>
          <w:b/>
          <w:bCs/>
          <w:color w:val="006186"/>
          <w:lang w:eastAsia="en-GB" w:bidi="en-GB"/>
        </w:rPr>
        <w:t>Section 4: Annual Review of the Effectiveness of the Governance Framework</w:t>
      </w:r>
      <w:bookmarkEnd w:id="3"/>
    </w:p>
    <w:p w:rsidR="00253D21" w:rsidRPr="00B65813" w:rsidRDefault="00253D21" w:rsidP="00253D21">
      <w:pPr>
        <w:spacing w:before="120" w:after="120"/>
        <w:jc w:val="both"/>
        <w:rPr>
          <w:rFonts w:ascii="Calibri" w:hAnsi="Calibri" w:cs="Arial"/>
          <w:sz w:val="22"/>
          <w:szCs w:val="22"/>
        </w:rPr>
      </w:pPr>
      <w:r w:rsidRPr="00B65813">
        <w:rPr>
          <w:rFonts w:ascii="Calibri" w:hAnsi="Calibri" w:cs="Arial"/>
          <w:sz w:val="22"/>
          <w:szCs w:val="22"/>
        </w:rPr>
        <w:t xml:space="preserve">We have a legal responsibility to conduct an annual review of the effectiveness of our Governance Framework, including the system of internal control. The outcomes of the review are considered by Audit (and Member Standards) Committee (which is charged with final approval of this statement). </w:t>
      </w:r>
    </w:p>
    <w:p w:rsidR="00253D21" w:rsidRPr="00B65813" w:rsidRDefault="00253D21" w:rsidP="00253D21">
      <w:pPr>
        <w:spacing w:before="120" w:after="120"/>
        <w:jc w:val="both"/>
        <w:rPr>
          <w:rFonts w:ascii="Calibri" w:hAnsi="Calibri" w:cs="Arial"/>
          <w:sz w:val="22"/>
          <w:szCs w:val="22"/>
        </w:rPr>
      </w:pPr>
      <w:r w:rsidRPr="00B65813">
        <w:rPr>
          <w:rFonts w:ascii="Calibri" w:hAnsi="Calibri" w:cs="Arial"/>
          <w:sz w:val="22"/>
          <w:szCs w:val="22"/>
        </w:rPr>
        <w:t>The review is informed by:</w:t>
      </w:r>
    </w:p>
    <w:p w:rsidR="00253D21" w:rsidRPr="004B0E7A" w:rsidRDefault="00253D21" w:rsidP="004B0E7A">
      <w:pPr>
        <w:numPr>
          <w:ilvl w:val="0"/>
          <w:numId w:val="13"/>
        </w:numPr>
        <w:spacing w:before="120" w:after="120" w:line="252" w:lineRule="auto"/>
        <w:contextualSpacing/>
        <w:jc w:val="both"/>
        <w:rPr>
          <w:rFonts w:ascii="Calibri" w:eastAsiaTheme="minorHAnsi" w:hAnsi="Calibri" w:cs="Calibri"/>
          <w:sz w:val="22"/>
          <w:szCs w:val="22"/>
        </w:rPr>
      </w:pPr>
      <w:r w:rsidRPr="004B0E7A">
        <w:rPr>
          <w:rFonts w:ascii="Calibri" w:eastAsiaTheme="minorHAnsi" w:hAnsi="Calibri" w:cs="Calibri"/>
          <w:sz w:val="22"/>
          <w:szCs w:val="22"/>
        </w:rPr>
        <w:t xml:space="preserve">The views of Internal Audit, reported to Audit and Member Standards Committee </w:t>
      </w:r>
      <w:r w:rsidRPr="005B0812">
        <w:rPr>
          <w:rFonts w:ascii="Calibri" w:eastAsiaTheme="minorHAnsi" w:hAnsi="Calibri" w:cs="Calibri"/>
          <w:sz w:val="22"/>
          <w:szCs w:val="22"/>
          <w:highlight w:val="magenta"/>
        </w:rPr>
        <w:t>th</w:t>
      </w:r>
      <w:r w:rsidR="005B0812" w:rsidRPr="005B0812">
        <w:rPr>
          <w:rFonts w:ascii="Calibri" w:eastAsiaTheme="minorHAnsi" w:hAnsi="Calibri" w:cs="Calibri"/>
          <w:sz w:val="22"/>
          <w:szCs w:val="22"/>
          <w:highlight w:val="magenta"/>
        </w:rPr>
        <w:t>r</w:t>
      </w:r>
      <w:r w:rsidRPr="005B0812">
        <w:rPr>
          <w:rFonts w:ascii="Calibri" w:eastAsiaTheme="minorHAnsi" w:hAnsi="Calibri" w:cs="Calibri"/>
          <w:sz w:val="22"/>
          <w:szCs w:val="22"/>
          <w:highlight w:val="magenta"/>
        </w:rPr>
        <w:t>ough</w:t>
      </w:r>
      <w:r w:rsidRPr="004B0E7A">
        <w:rPr>
          <w:rFonts w:ascii="Calibri" w:eastAsiaTheme="minorHAnsi" w:hAnsi="Calibri" w:cs="Calibri"/>
          <w:sz w:val="22"/>
          <w:szCs w:val="22"/>
        </w:rPr>
        <w:t xml:space="preserve"> regular progress reports, and the Annual Internal Audit Opinion</w:t>
      </w:r>
    </w:p>
    <w:p w:rsidR="00253D21" w:rsidRPr="004B0E7A" w:rsidRDefault="00253D21" w:rsidP="004B0E7A">
      <w:pPr>
        <w:numPr>
          <w:ilvl w:val="0"/>
          <w:numId w:val="13"/>
        </w:numPr>
        <w:spacing w:before="120" w:after="120" w:line="252" w:lineRule="auto"/>
        <w:contextualSpacing/>
        <w:jc w:val="both"/>
        <w:rPr>
          <w:rFonts w:ascii="Calibri" w:eastAsiaTheme="minorHAnsi" w:hAnsi="Calibri" w:cs="Calibri"/>
          <w:sz w:val="22"/>
          <w:szCs w:val="22"/>
        </w:rPr>
      </w:pPr>
      <w:r w:rsidRPr="004B0E7A">
        <w:rPr>
          <w:rFonts w:ascii="Calibri" w:eastAsiaTheme="minorHAnsi" w:hAnsi="Calibri" w:cs="Calibri"/>
          <w:sz w:val="22"/>
          <w:szCs w:val="22"/>
        </w:rPr>
        <w:t>An annual review, carried out by the Audit Manager, of the effectiveness of Internal Audit (as required by Regulation 6(3) of the Accounts and Audit Regulations 2015)</w:t>
      </w:r>
    </w:p>
    <w:p w:rsidR="00253D21" w:rsidRPr="004B0E7A" w:rsidRDefault="00253D21" w:rsidP="004B0E7A">
      <w:pPr>
        <w:numPr>
          <w:ilvl w:val="0"/>
          <w:numId w:val="13"/>
        </w:numPr>
        <w:spacing w:before="120" w:after="120" w:line="252" w:lineRule="auto"/>
        <w:contextualSpacing/>
        <w:jc w:val="both"/>
        <w:rPr>
          <w:rFonts w:ascii="Calibri" w:eastAsiaTheme="minorHAnsi" w:hAnsi="Calibri" w:cs="Calibri"/>
          <w:sz w:val="22"/>
          <w:szCs w:val="22"/>
        </w:rPr>
      </w:pPr>
      <w:r w:rsidRPr="004B0E7A">
        <w:rPr>
          <w:rFonts w:ascii="Calibri" w:eastAsiaTheme="minorHAnsi" w:hAnsi="Calibri" w:cs="Calibri"/>
          <w:sz w:val="22"/>
          <w:szCs w:val="22"/>
        </w:rPr>
        <w:t>The views of our External Auditors, regularly reported to Audit and Member Standards Committee though regular progress reports, the Annual Audit Letter, the Informing the Audit Risk Assessment document, the Audit Findings Report and the Audit Plan</w:t>
      </w:r>
    </w:p>
    <w:p w:rsidR="00253D21" w:rsidRPr="004B0E7A" w:rsidRDefault="00253D21" w:rsidP="004B0E7A">
      <w:pPr>
        <w:numPr>
          <w:ilvl w:val="0"/>
          <w:numId w:val="13"/>
        </w:numPr>
        <w:spacing w:before="120" w:after="120" w:line="252" w:lineRule="auto"/>
        <w:contextualSpacing/>
        <w:jc w:val="both"/>
        <w:rPr>
          <w:rFonts w:ascii="Calibri" w:eastAsiaTheme="minorHAnsi" w:hAnsi="Calibri" w:cs="Calibri"/>
          <w:sz w:val="22"/>
          <w:szCs w:val="22"/>
        </w:rPr>
      </w:pPr>
      <w:r w:rsidRPr="004B0E7A">
        <w:rPr>
          <w:rFonts w:ascii="Calibri" w:eastAsiaTheme="minorHAnsi" w:hAnsi="Calibri" w:cs="Calibri"/>
          <w:sz w:val="22"/>
          <w:szCs w:val="22"/>
        </w:rPr>
        <w:t>The views of the Head of Paid Service (Chief Executive), Monitoring Officer, Section 151 Officer</w:t>
      </w:r>
    </w:p>
    <w:p w:rsidR="00253D21" w:rsidRPr="004B0E7A" w:rsidRDefault="00253D21" w:rsidP="004B0E7A">
      <w:pPr>
        <w:numPr>
          <w:ilvl w:val="0"/>
          <w:numId w:val="13"/>
        </w:numPr>
        <w:spacing w:before="120" w:after="120" w:line="252" w:lineRule="auto"/>
        <w:contextualSpacing/>
        <w:jc w:val="both"/>
        <w:rPr>
          <w:rFonts w:ascii="Calibri" w:eastAsiaTheme="minorHAnsi" w:hAnsi="Calibri" w:cs="Calibri"/>
          <w:sz w:val="22"/>
          <w:szCs w:val="22"/>
        </w:rPr>
      </w:pPr>
      <w:r w:rsidRPr="004B0E7A">
        <w:rPr>
          <w:rFonts w:ascii="Calibri" w:eastAsiaTheme="minorHAnsi" w:hAnsi="Calibri" w:cs="Calibri"/>
          <w:sz w:val="22"/>
          <w:szCs w:val="22"/>
        </w:rPr>
        <w:t>The activities and operations of Council Service Areas whose Heads provide written assurance statements using an Internal Control Checklist</w:t>
      </w:r>
    </w:p>
    <w:p w:rsidR="00253D21" w:rsidRPr="004B0E7A" w:rsidRDefault="00253D21" w:rsidP="004B0E7A">
      <w:pPr>
        <w:numPr>
          <w:ilvl w:val="0"/>
          <w:numId w:val="13"/>
        </w:numPr>
        <w:spacing w:before="120" w:after="120" w:line="252" w:lineRule="auto"/>
        <w:contextualSpacing/>
        <w:jc w:val="both"/>
        <w:rPr>
          <w:rFonts w:ascii="Calibri" w:eastAsiaTheme="minorHAnsi" w:hAnsi="Calibri" w:cs="Calibri"/>
          <w:sz w:val="22"/>
          <w:szCs w:val="22"/>
        </w:rPr>
      </w:pPr>
      <w:r w:rsidRPr="004B0E7A">
        <w:rPr>
          <w:rFonts w:ascii="Calibri" w:eastAsiaTheme="minorHAnsi" w:hAnsi="Calibri" w:cs="Calibri"/>
          <w:sz w:val="22"/>
          <w:szCs w:val="22"/>
        </w:rPr>
        <w:t xml:space="preserve">The views of Members (Chairmen and Vice Chairmen and Leader of the Minority Group) using a Members’ Questionnaire </w:t>
      </w:r>
    </w:p>
    <w:p w:rsidR="00253D21" w:rsidRPr="004B0E7A" w:rsidRDefault="00253D21" w:rsidP="004B0E7A">
      <w:pPr>
        <w:numPr>
          <w:ilvl w:val="0"/>
          <w:numId w:val="13"/>
        </w:numPr>
        <w:spacing w:before="120" w:after="120" w:line="252" w:lineRule="auto"/>
        <w:contextualSpacing/>
        <w:jc w:val="both"/>
        <w:rPr>
          <w:rFonts w:ascii="Calibri" w:eastAsiaTheme="minorHAnsi" w:hAnsi="Calibri" w:cs="Calibri"/>
          <w:sz w:val="22"/>
          <w:szCs w:val="22"/>
        </w:rPr>
      </w:pPr>
      <w:r w:rsidRPr="004B0E7A">
        <w:rPr>
          <w:rFonts w:ascii="Calibri" w:eastAsiaTheme="minorHAnsi" w:hAnsi="Calibri" w:cs="Calibri"/>
          <w:sz w:val="22"/>
          <w:szCs w:val="22"/>
        </w:rPr>
        <w:t>The Risk Management Process, particularly the Corporate Risk Register</w:t>
      </w:r>
    </w:p>
    <w:p w:rsidR="00253D21" w:rsidRPr="009A0BFA" w:rsidRDefault="00253D21" w:rsidP="004B0E7A">
      <w:pPr>
        <w:numPr>
          <w:ilvl w:val="0"/>
          <w:numId w:val="13"/>
        </w:numPr>
        <w:spacing w:before="120" w:after="120" w:line="252" w:lineRule="auto"/>
        <w:contextualSpacing/>
        <w:jc w:val="both"/>
        <w:rPr>
          <w:rFonts w:ascii="Calibri" w:hAnsi="Calibri" w:cs="Arial"/>
          <w:sz w:val="22"/>
          <w:szCs w:val="22"/>
        </w:rPr>
      </w:pPr>
      <w:r w:rsidRPr="004B0E7A">
        <w:rPr>
          <w:rFonts w:ascii="Calibri" w:eastAsiaTheme="minorHAnsi" w:hAnsi="Calibri" w:cs="Calibri"/>
          <w:sz w:val="22"/>
          <w:szCs w:val="22"/>
        </w:rPr>
        <w:t>Performance information reported to Cabinet, Council and Overview and Scrutiny Committees</w:t>
      </w:r>
    </w:p>
    <w:p w:rsidR="00194CE0" w:rsidRDefault="00194CE0" w:rsidP="00253D21">
      <w:pPr>
        <w:spacing w:before="120" w:after="120"/>
        <w:jc w:val="both"/>
        <w:rPr>
          <w:rFonts w:ascii="Calibri" w:eastAsia="Arial" w:hAnsi="Calibri" w:cs="Arial"/>
          <w:b/>
          <w:bCs/>
          <w:color w:val="006186"/>
          <w:sz w:val="22"/>
          <w:szCs w:val="22"/>
          <w:lang w:eastAsia="en-GB" w:bidi="en-GB"/>
        </w:rPr>
      </w:pPr>
      <w:bookmarkStart w:id="4" w:name="bookmark10"/>
    </w:p>
    <w:p w:rsidR="00253D21" w:rsidRPr="00B85E73" w:rsidRDefault="00253D21" w:rsidP="00253D21">
      <w:pPr>
        <w:spacing w:before="120" w:after="120"/>
        <w:jc w:val="both"/>
        <w:rPr>
          <w:rFonts w:ascii="Calibri" w:eastAsia="Arial" w:hAnsi="Calibri" w:cs="Arial"/>
          <w:b/>
          <w:color w:val="006186"/>
          <w:sz w:val="22"/>
          <w:szCs w:val="22"/>
          <w:lang w:eastAsia="en-GB" w:bidi="en-GB"/>
        </w:rPr>
      </w:pPr>
      <w:r w:rsidRPr="00B85E73">
        <w:rPr>
          <w:rFonts w:ascii="Calibri" w:eastAsia="Arial" w:hAnsi="Calibri" w:cs="Arial"/>
          <w:b/>
          <w:bCs/>
          <w:color w:val="006186"/>
          <w:sz w:val="22"/>
          <w:szCs w:val="22"/>
          <w:lang w:eastAsia="en-GB" w:bidi="en-GB"/>
        </w:rPr>
        <w:t>Conclusion of the Review</w:t>
      </w:r>
    </w:p>
    <w:p w:rsidR="00C22F56" w:rsidRPr="00C22F56" w:rsidRDefault="00C22F56" w:rsidP="00C22F56">
      <w:pPr>
        <w:spacing w:before="120" w:after="120"/>
        <w:jc w:val="both"/>
        <w:rPr>
          <w:rFonts w:ascii="Calibri" w:hAnsi="Calibri" w:cs="Arial"/>
          <w:sz w:val="22"/>
          <w:szCs w:val="22"/>
        </w:rPr>
      </w:pPr>
      <w:r w:rsidRPr="00C22F56">
        <w:rPr>
          <w:rFonts w:ascii="Calibri" w:hAnsi="Calibri" w:cs="Arial"/>
          <w:sz w:val="22"/>
          <w:szCs w:val="22"/>
        </w:rPr>
        <w:t>For 2020/21 one significant weaknesses in Governance or Internal Control was highlighted in relation to the proposed disposal of an area of Public Open Space. An independent investigation has been commissioned and the findings and proposed actions to address any control weaknesses will be reported to the Audit and Member Standards Committee.</w:t>
      </w:r>
    </w:p>
    <w:p w:rsidR="00253D21" w:rsidRPr="00C22F56" w:rsidRDefault="005B391D" w:rsidP="00253D21">
      <w:pPr>
        <w:spacing w:before="120" w:after="120"/>
        <w:jc w:val="both"/>
        <w:rPr>
          <w:rFonts w:ascii="Calibri" w:hAnsi="Calibri" w:cs="Arial"/>
          <w:sz w:val="22"/>
          <w:szCs w:val="22"/>
        </w:rPr>
      </w:pPr>
      <w:r w:rsidRPr="00C22F56">
        <w:rPr>
          <w:rFonts w:ascii="Calibri" w:hAnsi="Calibri" w:cs="Arial"/>
          <w:sz w:val="22"/>
          <w:szCs w:val="22"/>
        </w:rPr>
        <w:t>With the exception of the issue above, w</w:t>
      </w:r>
      <w:r w:rsidR="00253D21" w:rsidRPr="00C22F56">
        <w:rPr>
          <w:rFonts w:ascii="Calibri" w:hAnsi="Calibri" w:cs="Arial"/>
          <w:sz w:val="22"/>
          <w:szCs w:val="22"/>
        </w:rPr>
        <w:t>e consider the Governance Framework and Internal Control environment operating during 20</w:t>
      </w:r>
      <w:r w:rsidRPr="00C22F56">
        <w:rPr>
          <w:rFonts w:ascii="Calibri" w:hAnsi="Calibri" w:cs="Arial"/>
          <w:sz w:val="22"/>
          <w:szCs w:val="22"/>
        </w:rPr>
        <w:t>20</w:t>
      </w:r>
      <w:r w:rsidR="00253D21" w:rsidRPr="00C22F56">
        <w:rPr>
          <w:rFonts w:ascii="Calibri" w:hAnsi="Calibri" w:cs="Arial"/>
          <w:sz w:val="22"/>
          <w:szCs w:val="22"/>
        </w:rPr>
        <w:t>/2</w:t>
      </w:r>
      <w:r w:rsidRPr="00C22F56">
        <w:rPr>
          <w:rFonts w:ascii="Calibri" w:hAnsi="Calibri" w:cs="Arial"/>
          <w:sz w:val="22"/>
          <w:szCs w:val="22"/>
        </w:rPr>
        <w:t>1</w:t>
      </w:r>
      <w:r w:rsidR="00253D21" w:rsidRPr="00C22F56">
        <w:rPr>
          <w:rFonts w:ascii="Calibri" w:hAnsi="Calibri" w:cs="Arial"/>
          <w:sz w:val="22"/>
          <w:szCs w:val="22"/>
        </w:rPr>
        <w:t xml:space="preserve"> to provide reasonable and objective assurance that any significant risks impacting on the achievement of our principal objectives will be identified and actions taken to avoid or mitigate their impact. </w:t>
      </w:r>
    </w:p>
    <w:p w:rsidR="00253D21" w:rsidRPr="00C22F56" w:rsidRDefault="00C22F56" w:rsidP="00253D21">
      <w:pPr>
        <w:spacing w:before="120" w:after="120"/>
        <w:jc w:val="both"/>
        <w:rPr>
          <w:rFonts w:ascii="Calibri" w:hAnsi="Calibri" w:cs="Arial"/>
          <w:sz w:val="22"/>
          <w:szCs w:val="22"/>
        </w:rPr>
      </w:pPr>
      <w:r w:rsidRPr="00C22F56">
        <w:rPr>
          <w:rFonts w:ascii="Calibri" w:hAnsi="Calibri" w:cs="Arial"/>
          <w:sz w:val="22"/>
          <w:szCs w:val="22"/>
        </w:rPr>
        <w:t>For 2020/</w:t>
      </w:r>
      <w:r w:rsidR="00253D21" w:rsidRPr="00C22F56">
        <w:rPr>
          <w:rFonts w:ascii="Calibri" w:hAnsi="Calibri" w:cs="Arial"/>
          <w:sz w:val="22"/>
          <w:szCs w:val="22"/>
        </w:rPr>
        <w:t>2</w:t>
      </w:r>
      <w:r w:rsidRPr="00C22F56">
        <w:rPr>
          <w:rFonts w:ascii="Calibri" w:hAnsi="Calibri" w:cs="Arial"/>
          <w:sz w:val="22"/>
          <w:szCs w:val="22"/>
        </w:rPr>
        <w:t>1</w:t>
      </w:r>
      <w:r w:rsidR="00253D21" w:rsidRPr="00C22F56">
        <w:rPr>
          <w:rFonts w:ascii="Calibri" w:hAnsi="Calibri" w:cs="Arial"/>
          <w:sz w:val="22"/>
          <w:szCs w:val="22"/>
        </w:rPr>
        <w:t xml:space="preserve"> no </w:t>
      </w:r>
      <w:r w:rsidRPr="00C22F56">
        <w:rPr>
          <w:rFonts w:ascii="Calibri" w:hAnsi="Calibri" w:cs="Arial"/>
          <w:sz w:val="22"/>
          <w:szCs w:val="22"/>
        </w:rPr>
        <w:t xml:space="preserve">additional </w:t>
      </w:r>
      <w:r w:rsidR="00253D21" w:rsidRPr="00C22F56">
        <w:rPr>
          <w:rFonts w:ascii="Calibri" w:hAnsi="Calibri" w:cs="Arial"/>
          <w:sz w:val="22"/>
          <w:szCs w:val="22"/>
        </w:rPr>
        <w:t>significant weaknesses in Governance or Internal Control were highlighted.</w:t>
      </w:r>
    </w:p>
    <w:bookmarkEnd w:id="4"/>
    <w:p w:rsidR="00253D21" w:rsidRPr="00B85E73" w:rsidRDefault="00253D21" w:rsidP="00B85E73">
      <w:pPr>
        <w:keepNext/>
        <w:keepLines/>
        <w:spacing w:after="238"/>
        <w:jc w:val="both"/>
        <w:rPr>
          <w:rFonts w:ascii="Calibri" w:eastAsia="Arial" w:hAnsi="Calibri" w:cs="Arial"/>
          <w:b/>
          <w:bCs/>
          <w:color w:val="006186"/>
          <w:lang w:eastAsia="en-GB" w:bidi="en-GB"/>
        </w:rPr>
      </w:pPr>
      <w:r w:rsidRPr="00B85E73">
        <w:rPr>
          <w:rFonts w:ascii="Calibri" w:eastAsia="Arial" w:hAnsi="Calibri" w:cs="Arial"/>
          <w:b/>
          <w:bCs/>
          <w:color w:val="006186"/>
          <w:lang w:eastAsia="en-GB" w:bidi="en-GB"/>
        </w:rPr>
        <w:t>Section 5: Update on Significant Governance Issues 20</w:t>
      </w:r>
      <w:r w:rsidR="00B65813" w:rsidRPr="00B85E73">
        <w:rPr>
          <w:rFonts w:ascii="Calibri" w:eastAsia="Arial" w:hAnsi="Calibri" w:cs="Arial"/>
          <w:b/>
          <w:bCs/>
          <w:color w:val="006186"/>
          <w:lang w:eastAsia="en-GB" w:bidi="en-GB"/>
        </w:rPr>
        <w:t>19</w:t>
      </w:r>
      <w:r w:rsidRPr="00B85E73">
        <w:rPr>
          <w:rFonts w:ascii="Calibri" w:eastAsia="Arial" w:hAnsi="Calibri" w:cs="Arial"/>
          <w:b/>
          <w:bCs/>
          <w:color w:val="006186"/>
          <w:lang w:eastAsia="en-GB" w:bidi="en-GB"/>
        </w:rPr>
        <w:t>/</w:t>
      </w:r>
      <w:r w:rsidR="00B65813" w:rsidRPr="00B85E73">
        <w:rPr>
          <w:rFonts w:ascii="Calibri" w:eastAsia="Arial" w:hAnsi="Calibri" w:cs="Arial"/>
          <w:b/>
          <w:bCs/>
          <w:color w:val="006186"/>
          <w:lang w:eastAsia="en-GB" w:bidi="en-GB"/>
        </w:rPr>
        <w:t>20</w:t>
      </w:r>
    </w:p>
    <w:p w:rsidR="00253D21" w:rsidRPr="00B65813" w:rsidRDefault="00253D21" w:rsidP="00253D21">
      <w:pPr>
        <w:spacing w:before="120" w:after="120"/>
        <w:jc w:val="both"/>
        <w:rPr>
          <w:rFonts w:ascii="Calibri" w:hAnsi="Calibri" w:cs="Arial"/>
          <w:sz w:val="22"/>
          <w:szCs w:val="22"/>
        </w:rPr>
      </w:pPr>
      <w:r w:rsidRPr="00B65813">
        <w:rPr>
          <w:rFonts w:ascii="Calibri" w:eastAsia="Arial" w:hAnsi="Calibri" w:cs="Arial"/>
          <w:sz w:val="22"/>
          <w:szCs w:val="22"/>
        </w:rPr>
        <w:t xml:space="preserve">The system of Governance (including the system of Internal Control) can provide only reasonable and not absolute assurance that assets are safeguarded, that transactions are authorised and properly recorded, that material errors or irregularities are either prevented or </w:t>
      </w:r>
      <w:r w:rsidRPr="00B65813">
        <w:rPr>
          <w:rFonts w:ascii="Calibri" w:hAnsi="Calibri" w:cs="Arial"/>
          <w:sz w:val="22"/>
          <w:szCs w:val="22"/>
        </w:rPr>
        <w:t>would be detected within a timely period, that value for money is being secured and that significant risks impacting on the achievement of our objectives have been mitigated.</w:t>
      </w:r>
    </w:p>
    <w:p w:rsidR="00253D21" w:rsidRPr="00B65813" w:rsidRDefault="00253D21" w:rsidP="00253D21">
      <w:pPr>
        <w:spacing w:before="120" w:after="120"/>
        <w:jc w:val="both"/>
        <w:rPr>
          <w:rFonts w:ascii="Calibri" w:hAnsi="Calibri" w:cs="Arial"/>
          <w:sz w:val="22"/>
          <w:szCs w:val="22"/>
        </w:rPr>
      </w:pPr>
      <w:r w:rsidRPr="00B65813">
        <w:rPr>
          <w:rFonts w:ascii="Calibri" w:hAnsi="Calibri" w:cs="Arial"/>
          <w:sz w:val="22"/>
          <w:szCs w:val="22"/>
        </w:rPr>
        <w:lastRenderedPageBreak/>
        <w:t>The review highlighted no areas as representing a significant weakness in Governance or Internal Control during 201</w:t>
      </w:r>
      <w:r w:rsidR="00B65813">
        <w:rPr>
          <w:rFonts w:ascii="Calibri" w:hAnsi="Calibri" w:cs="Arial"/>
          <w:sz w:val="22"/>
          <w:szCs w:val="22"/>
        </w:rPr>
        <w:t>9</w:t>
      </w:r>
      <w:r w:rsidRPr="00B65813">
        <w:rPr>
          <w:rFonts w:ascii="Calibri" w:hAnsi="Calibri" w:cs="Arial"/>
          <w:sz w:val="22"/>
          <w:szCs w:val="22"/>
        </w:rPr>
        <w:t>/</w:t>
      </w:r>
      <w:r w:rsidR="00B65813">
        <w:rPr>
          <w:rFonts w:ascii="Calibri" w:hAnsi="Calibri" w:cs="Arial"/>
          <w:sz w:val="22"/>
          <w:szCs w:val="22"/>
        </w:rPr>
        <w:t>20</w:t>
      </w:r>
      <w:r w:rsidRPr="00B65813">
        <w:rPr>
          <w:rFonts w:ascii="Calibri" w:hAnsi="Calibri" w:cs="Arial"/>
          <w:sz w:val="22"/>
          <w:szCs w:val="22"/>
        </w:rPr>
        <w:t>.</w:t>
      </w:r>
    </w:p>
    <w:p w:rsidR="00253D21" w:rsidRPr="00B85E73" w:rsidRDefault="00253D21" w:rsidP="00253D21">
      <w:pPr>
        <w:keepNext/>
        <w:keepLines/>
        <w:spacing w:after="238"/>
        <w:jc w:val="both"/>
        <w:rPr>
          <w:rFonts w:ascii="Calibri" w:eastAsia="Arial" w:hAnsi="Calibri" w:cs="Arial"/>
          <w:b/>
          <w:bCs/>
          <w:color w:val="006186"/>
          <w:lang w:eastAsia="en-GB" w:bidi="en-GB"/>
        </w:rPr>
      </w:pPr>
      <w:r w:rsidRPr="00B85E73">
        <w:rPr>
          <w:rFonts w:ascii="Calibri" w:eastAsia="Arial" w:hAnsi="Calibri" w:cs="Arial"/>
          <w:b/>
          <w:bCs/>
          <w:color w:val="006186"/>
          <w:lang w:eastAsia="en-GB" w:bidi="en-GB"/>
        </w:rPr>
        <w:t>Section 6: Reflecting the Challenges from C</w:t>
      </w:r>
      <w:r w:rsidR="006C7E67" w:rsidRPr="00B85E73">
        <w:rPr>
          <w:rFonts w:ascii="Calibri" w:eastAsia="Arial" w:hAnsi="Calibri" w:cs="Arial"/>
          <w:b/>
          <w:bCs/>
          <w:color w:val="006186"/>
          <w:lang w:eastAsia="en-GB" w:bidi="en-GB"/>
        </w:rPr>
        <w:t>OVID-19</w:t>
      </w:r>
      <w:r w:rsidRPr="00B85E73">
        <w:rPr>
          <w:rFonts w:ascii="Calibri" w:eastAsia="Arial" w:hAnsi="Calibri" w:cs="Arial"/>
          <w:b/>
          <w:bCs/>
          <w:color w:val="006186"/>
          <w:lang w:eastAsia="en-GB" w:bidi="en-GB"/>
        </w:rPr>
        <w:t xml:space="preserve"> </w:t>
      </w:r>
    </w:p>
    <w:p w:rsidR="00253D21" w:rsidRPr="00F20FA0" w:rsidRDefault="00F20FA0" w:rsidP="00253D21">
      <w:pPr>
        <w:spacing w:before="120" w:after="120"/>
        <w:jc w:val="both"/>
        <w:rPr>
          <w:rFonts w:ascii="Calibri" w:hAnsi="Calibri" w:cs="Arial"/>
          <w:sz w:val="22"/>
          <w:szCs w:val="22"/>
        </w:rPr>
      </w:pPr>
      <w:r w:rsidRPr="00F20FA0">
        <w:rPr>
          <w:rFonts w:ascii="Calibri" w:hAnsi="Calibri" w:cs="Arial"/>
          <w:sz w:val="22"/>
          <w:szCs w:val="22"/>
        </w:rPr>
        <w:t>This section considers the impact of C</w:t>
      </w:r>
      <w:r w:rsidR="0020097A">
        <w:rPr>
          <w:rFonts w:ascii="Calibri" w:hAnsi="Calibri" w:cs="Arial"/>
          <w:sz w:val="22"/>
          <w:szCs w:val="22"/>
        </w:rPr>
        <w:t>ovid</w:t>
      </w:r>
      <w:r w:rsidRPr="00F20FA0">
        <w:rPr>
          <w:rFonts w:ascii="Calibri" w:hAnsi="Calibri" w:cs="Arial"/>
          <w:sz w:val="22"/>
          <w:szCs w:val="22"/>
        </w:rPr>
        <w:t xml:space="preserve">-19 on </w:t>
      </w:r>
      <w:r w:rsidR="00253D21" w:rsidRPr="00F20FA0">
        <w:rPr>
          <w:rFonts w:ascii="Calibri" w:hAnsi="Calibri" w:cs="Arial"/>
          <w:sz w:val="22"/>
          <w:szCs w:val="22"/>
        </w:rPr>
        <w:t>and a second conclusion on the adequacy of governance arrangements during this period will be included to make clear the impact.</w:t>
      </w:r>
    </w:p>
    <w:p w:rsidR="00253D21" w:rsidRPr="00985EFC" w:rsidRDefault="00253D21" w:rsidP="00253D21">
      <w:pPr>
        <w:jc w:val="both"/>
        <w:rPr>
          <w:rFonts w:ascii="Calibri" w:hAnsi="Calibri" w:cs="Arial"/>
          <w:sz w:val="22"/>
          <w:szCs w:val="22"/>
        </w:rPr>
      </w:pPr>
      <w:r w:rsidRPr="00985EFC">
        <w:rPr>
          <w:rFonts w:ascii="Calibri" w:hAnsi="Calibri" w:cs="Arial"/>
          <w:sz w:val="22"/>
          <w:szCs w:val="22"/>
        </w:rPr>
        <w:t>The impact on governance can be seen under the following broad categories:</w:t>
      </w:r>
    </w:p>
    <w:p w:rsidR="00253D21" w:rsidRPr="00B85E73" w:rsidRDefault="00253D21" w:rsidP="00253D21">
      <w:pPr>
        <w:spacing w:before="120" w:after="120"/>
        <w:jc w:val="both"/>
        <w:rPr>
          <w:rFonts w:ascii="Calibri" w:hAnsi="Calibri" w:cs="Arial"/>
          <w:b/>
          <w:sz w:val="22"/>
          <w:szCs w:val="22"/>
          <w:u w:val="single"/>
        </w:rPr>
      </w:pPr>
      <w:r w:rsidRPr="00B85E73">
        <w:rPr>
          <w:rFonts w:ascii="Calibri" w:hAnsi="Calibri" w:cs="Arial"/>
          <w:b/>
          <w:sz w:val="22"/>
          <w:szCs w:val="22"/>
          <w:u w:val="single"/>
        </w:rPr>
        <w:t>Impact on business as usual in the delivery of services</w:t>
      </w:r>
    </w:p>
    <w:p w:rsidR="00253D21" w:rsidRPr="00985EFC" w:rsidRDefault="00253D21" w:rsidP="00253D21">
      <w:pPr>
        <w:widowControl w:val="0"/>
        <w:autoSpaceDE w:val="0"/>
        <w:autoSpaceDN w:val="0"/>
        <w:spacing w:before="170" w:line="261" w:lineRule="auto"/>
        <w:ind w:right="-2"/>
        <w:jc w:val="both"/>
        <w:rPr>
          <w:rFonts w:ascii="Calibri" w:hAnsi="Calibri" w:cs="Arial"/>
          <w:sz w:val="22"/>
          <w:szCs w:val="22"/>
        </w:rPr>
      </w:pPr>
      <w:r w:rsidRPr="00985EFC">
        <w:rPr>
          <w:rFonts w:ascii="Calibri" w:hAnsi="Calibri" w:cs="Arial"/>
          <w:sz w:val="22"/>
          <w:szCs w:val="22"/>
        </w:rPr>
        <w:t>Social distancing measures have had a significant impact on the Council’s governance arr</w:t>
      </w:r>
      <w:r w:rsidR="00B85E73">
        <w:rPr>
          <w:rFonts w:ascii="Calibri" w:hAnsi="Calibri" w:cs="Arial"/>
          <w:sz w:val="22"/>
          <w:szCs w:val="22"/>
        </w:rPr>
        <w:t xml:space="preserve">angements. </w:t>
      </w:r>
      <w:r w:rsidRPr="00985EFC">
        <w:rPr>
          <w:rFonts w:ascii="Calibri" w:hAnsi="Calibri" w:cs="Arial"/>
          <w:sz w:val="22"/>
          <w:szCs w:val="22"/>
        </w:rPr>
        <w:t xml:space="preserve">MHCLG laid regulations before Parliament in April 2020 to provide flexibility in relation to local authority and police and crime panel meetings held between 4 April 2020 and 6 May 2021. These regulations provide for remote access to meetings of local authorities by members of a local authority and by the press and public. </w:t>
      </w:r>
    </w:p>
    <w:p w:rsidR="00AD3F8C" w:rsidRDefault="00B85E73" w:rsidP="00C540C7">
      <w:pPr>
        <w:widowControl w:val="0"/>
        <w:autoSpaceDE w:val="0"/>
        <w:autoSpaceDN w:val="0"/>
        <w:spacing w:before="170" w:line="261" w:lineRule="auto"/>
        <w:ind w:right="-2"/>
        <w:jc w:val="both"/>
        <w:rPr>
          <w:rFonts w:ascii="Calibri" w:hAnsi="Calibri" w:cs="Arial"/>
          <w:sz w:val="22"/>
          <w:szCs w:val="22"/>
        </w:rPr>
      </w:pPr>
      <w:r>
        <w:rPr>
          <w:rFonts w:ascii="Calibri" w:hAnsi="Calibri" w:cs="Arial"/>
          <w:sz w:val="22"/>
          <w:szCs w:val="22"/>
        </w:rPr>
        <w:t xml:space="preserve">The Council, therefore, </w:t>
      </w:r>
      <w:r w:rsidR="00253D21" w:rsidRPr="00985EFC">
        <w:rPr>
          <w:rFonts w:ascii="Calibri" w:hAnsi="Calibri" w:cs="Arial"/>
          <w:sz w:val="22"/>
          <w:szCs w:val="22"/>
        </w:rPr>
        <w:t>put arrangements in place to hold meetings virtually, allowing elected members to fully engage in taking key decisions and allow for public participation.</w:t>
      </w:r>
      <w:r w:rsidR="00AD3F8C">
        <w:rPr>
          <w:rFonts w:ascii="Calibri" w:hAnsi="Calibri" w:cs="Arial"/>
          <w:sz w:val="22"/>
          <w:szCs w:val="22"/>
        </w:rPr>
        <w:t xml:space="preserve"> </w:t>
      </w:r>
      <w:r w:rsidR="00AD3F8C" w:rsidRPr="00AD3F8C">
        <w:rPr>
          <w:rFonts w:ascii="Calibri" w:hAnsi="Calibri" w:cs="Arial"/>
          <w:sz w:val="22"/>
          <w:szCs w:val="22"/>
        </w:rPr>
        <w:t>Since May 2020</w:t>
      </w:r>
      <w:r w:rsidR="00C540C7">
        <w:rPr>
          <w:rFonts w:ascii="Calibri" w:hAnsi="Calibri" w:cs="Arial"/>
          <w:sz w:val="22"/>
          <w:szCs w:val="22"/>
        </w:rPr>
        <w:t>,</w:t>
      </w:r>
      <w:r w:rsidR="00AD3F8C" w:rsidRPr="00AD3F8C">
        <w:rPr>
          <w:rFonts w:ascii="Calibri" w:hAnsi="Calibri" w:cs="Arial"/>
          <w:sz w:val="22"/>
          <w:szCs w:val="22"/>
        </w:rPr>
        <w:t xml:space="preserve"> all of our </w:t>
      </w:r>
      <w:r w:rsidR="00FC7AC0">
        <w:rPr>
          <w:rFonts w:ascii="Calibri" w:hAnsi="Calibri" w:cs="Arial"/>
          <w:sz w:val="22"/>
          <w:szCs w:val="22"/>
        </w:rPr>
        <w:t>C</w:t>
      </w:r>
      <w:r w:rsidR="00AD3F8C" w:rsidRPr="00AD3F8C">
        <w:rPr>
          <w:rFonts w:ascii="Calibri" w:hAnsi="Calibri" w:cs="Arial"/>
          <w:sz w:val="22"/>
          <w:szCs w:val="22"/>
        </w:rPr>
        <w:t xml:space="preserve">ouncil meetings have been broadcast live and then </w:t>
      </w:r>
      <w:r w:rsidR="00C540C7">
        <w:rPr>
          <w:rFonts w:ascii="Calibri" w:hAnsi="Calibri" w:cs="Arial"/>
          <w:sz w:val="22"/>
          <w:szCs w:val="22"/>
        </w:rPr>
        <w:t xml:space="preserve">made </w:t>
      </w:r>
      <w:r w:rsidR="00AD3F8C" w:rsidRPr="00AD3F8C">
        <w:rPr>
          <w:rFonts w:ascii="Calibri" w:hAnsi="Calibri" w:cs="Arial"/>
          <w:sz w:val="22"/>
          <w:szCs w:val="22"/>
        </w:rPr>
        <w:t xml:space="preserve">available on our YouTube Channel. Overall attendance at meetings is higher via zoom </w:t>
      </w:r>
      <w:r w:rsidR="00C540C7">
        <w:rPr>
          <w:rFonts w:ascii="Calibri" w:hAnsi="Calibri" w:cs="Arial"/>
          <w:sz w:val="22"/>
          <w:szCs w:val="22"/>
        </w:rPr>
        <w:t xml:space="preserve">which enables </w:t>
      </w:r>
      <w:r w:rsidR="00AD3F8C" w:rsidRPr="00AD3F8C">
        <w:rPr>
          <w:rFonts w:ascii="Calibri" w:hAnsi="Calibri" w:cs="Arial"/>
          <w:sz w:val="22"/>
          <w:szCs w:val="22"/>
        </w:rPr>
        <w:t>members to balance their role with other responsibilities.</w:t>
      </w:r>
    </w:p>
    <w:p w:rsidR="00ED4AB5" w:rsidRDefault="00ED4AB5" w:rsidP="00ED4AB5">
      <w:pPr>
        <w:widowControl w:val="0"/>
        <w:autoSpaceDE w:val="0"/>
        <w:autoSpaceDN w:val="0"/>
        <w:spacing w:before="170" w:line="261" w:lineRule="auto"/>
        <w:ind w:right="-2"/>
        <w:jc w:val="both"/>
        <w:rPr>
          <w:rFonts w:ascii="Calibri" w:hAnsi="Calibri" w:cs="Arial"/>
          <w:sz w:val="22"/>
          <w:szCs w:val="22"/>
        </w:rPr>
      </w:pPr>
      <w:r w:rsidRPr="00ED4AB5">
        <w:rPr>
          <w:rFonts w:ascii="Calibri" w:hAnsi="Calibri" w:cs="Arial"/>
          <w:sz w:val="22"/>
          <w:szCs w:val="22"/>
        </w:rPr>
        <w:t xml:space="preserve">Mobile and flexible working has now become business as usual for many of our staff. This transition was achieved relatively early on during the first lockdown where all staff who could work from home were equipped to do so within the first few weeks. </w:t>
      </w:r>
    </w:p>
    <w:p w:rsidR="00ED4AB5" w:rsidRPr="00ED4AB5" w:rsidRDefault="00ED4AB5" w:rsidP="00ED4AB5">
      <w:pPr>
        <w:widowControl w:val="0"/>
        <w:autoSpaceDE w:val="0"/>
        <w:autoSpaceDN w:val="0"/>
        <w:spacing w:before="170" w:line="261" w:lineRule="auto"/>
        <w:ind w:right="-2"/>
        <w:jc w:val="both"/>
        <w:rPr>
          <w:rFonts w:ascii="Calibri" w:hAnsi="Calibri" w:cs="Arial"/>
          <w:sz w:val="22"/>
          <w:szCs w:val="22"/>
        </w:rPr>
      </w:pPr>
      <w:r w:rsidRPr="00ED4AB5">
        <w:rPr>
          <w:rFonts w:ascii="Calibri" w:hAnsi="Calibri" w:cs="Arial"/>
          <w:sz w:val="22"/>
          <w:szCs w:val="22"/>
        </w:rPr>
        <w:t>To keep staff and residents safe, our reception area has not been reopened to the general public yet. All key services have remained available through a variety of other channels. Where essential, home visits and business inspections are still carried out under Covid</w:t>
      </w:r>
      <w:r>
        <w:rPr>
          <w:rFonts w:ascii="Calibri" w:hAnsi="Calibri" w:cs="Arial"/>
          <w:sz w:val="22"/>
          <w:szCs w:val="22"/>
        </w:rPr>
        <w:t>-</w:t>
      </w:r>
      <w:r w:rsidRPr="00ED4AB5">
        <w:rPr>
          <w:rFonts w:ascii="Calibri" w:hAnsi="Calibri" w:cs="Arial"/>
          <w:sz w:val="22"/>
          <w:szCs w:val="22"/>
        </w:rPr>
        <w:t xml:space="preserve">19 </w:t>
      </w:r>
      <w:r>
        <w:rPr>
          <w:rFonts w:ascii="Calibri" w:hAnsi="Calibri" w:cs="Arial"/>
          <w:sz w:val="22"/>
          <w:szCs w:val="22"/>
        </w:rPr>
        <w:t>s</w:t>
      </w:r>
      <w:r w:rsidRPr="00ED4AB5">
        <w:rPr>
          <w:rFonts w:ascii="Calibri" w:hAnsi="Calibri" w:cs="Arial"/>
          <w:sz w:val="22"/>
          <w:szCs w:val="22"/>
        </w:rPr>
        <w:t>ecure protocols.</w:t>
      </w:r>
    </w:p>
    <w:p w:rsidR="00ED4AB5" w:rsidRPr="00ED4AB5" w:rsidRDefault="00ED4AB5" w:rsidP="00ED4AB5">
      <w:pPr>
        <w:widowControl w:val="0"/>
        <w:autoSpaceDE w:val="0"/>
        <w:autoSpaceDN w:val="0"/>
        <w:spacing w:before="170" w:line="261" w:lineRule="auto"/>
        <w:ind w:right="-2"/>
        <w:jc w:val="both"/>
        <w:rPr>
          <w:rFonts w:ascii="Calibri" w:hAnsi="Calibri" w:cs="Arial"/>
          <w:sz w:val="22"/>
          <w:szCs w:val="22"/>
        </w:rPr>
      </w:pPr>
      <w:r w:rsidRPr="00ED4AB5">
        <w:rPr>
          <w:rFonts w:ascii="Calibri" w:hAnsi="Calibri" w:cs="Arial"/>
          <w:sz w:val="22"/>
          <w:szCs w:val="22"/>
        </w:rPr>
        <w:t>For our customers we have worked hard to ensure they feel comfortable in using the new ways of accessing our services and website. Dedicated webpages have been developed and continue to be updated with relevant information to support residents and businesses throughout the pandemic.</w:t>
      </w:r>
    </w:p>
    <w:p w:rsidR="00AD3F8C" w:rsidRDefault="00AD3F8C" w:rsidP="00C540C7">
      <w:pPr>
        <w:widowControl w:val="0"/>
        <w:autoSpaceDE w:val="0"/>
        <w:autoSpaceDN w:val="0"/>
        <w:spacing w:before="170" w:line="261" w:lineRule="auto"/>
        <w:ind w:right="-2"/>
        <w:jc w:val="both"/>
        <w:rPr>
          <w:rFonts w:ascii="Calibri" w:hAnsi="Calibri" w:cs="Arial"/>
          <w:sz w:val="22"/>
          <w:szCs w:val="22"/>
        </w:rPr>
      </w:pPr>
      <w:r w:rsidRPr="00AD3F8C">
        <w:rPr>
          <w:rFonts w:ascii="Calibri" w:hAnsi="Calibri" w:cs="Arial"/>
          <w:sz w:val="22"/>
          <w:szCs w:val="22"/>
        </w:rPr>
        <w:t>Since March 2020</w:t>
      </w:r>
      <w:r w:rsidR="00C540C7">
        <w:rPr>
          <w:rFonts w:ascii="Calibri" w:hAnsi="Calibri" w:cs="Arial"/>
          <w:sz w:val="22"/>
          <w:szCs w:val="22"/>
        </w:rPr>
        <w:t>,</w:t>
      </w:r>
      <w:r w:rsidRPr="00AD3F8C">
        <w:rPr>
          <w:rFonts w:ascii="Calibri" w:hAnsi="Calibri" w:cs="Arial"/>
          <w:sz w:val="22"/>
          <w:szCs w:val="22"/>
        </w:rPr>
        <w:t xml:space="preserve"> messages have been issued by the Chief Executive and </w:t>
      </w:r>
      <w:r w:rsidR="00C540C7">
        <w:rPr>
          <w:rFonts w:ascii="Calibri" w:hAnsi="Calibri" w:cs="Arial"/>
          <w:sz w:val="22"/>
          <w:szCs w:val="22"/>
        </w:rPr>
        <w:t>Leadership T</w:t>
      </w:r>
      <w:r w:rsidRPr="00AD3F8C">
        <w:rPr>
          <w:rFonts w:ascii="Calibri" w:hAnsi="Calibri" w:cs="Arial"/>
          <w:sz w:val="22"/>
          <w:szCs w:val="22"/>
        </w:rPr>
        <w:t xml:space="preserve">eam, sometimes on a daily basis, to ensure all staff and </w:t>
      </w:r>
      <w:r w:rsidR="00C540C7">
        <w:rPr>
          <w:rFonts w:ascii="Calibri" w:hAnsi="Calibri" w:cs="Arial"/>
          <w:sz w:val="22"/>
          <w:szCs w:val="22"/>
        </w:rPr>
        <w:t>M</w:t>
      </w:r>
      <w:r w:rsidRPr="00AD3F8C">
        <w:rPr>
          <w:rFonts w:ascii="Calibri" w:hAnsi="Calibri" w:cs="Arial"/>
          <w:sz w:val="22"/>
          <w:szCs w:val="22"/>
        </w:rPr>
        <w:t xml:space="preserve">embers have the most up to date information to pass on to residents and stakeholders. Over the pandemic period, Managers Briefings </w:t>
      </w:r>
      <w:r w:rsidR="00C540C7">
        <w:rPr>
          <w:rFonts w:ascii="Calibri" w:hAnsi="Calibri" w:cs="Arial"/>
          <w:sz w:val="22"/>
          <w:szCs w:val="22"/>
        </w:rPr>
        <w:t>(</w:t>
      </w:r>
      <w:r w:rsidRPr="00AD3F8C">
        <w:rPr>
          <w:rFonts w:ascii="Calibri" w:hAnsi="Calibri" w:cs="Arial"/>
          <w:sz w:val="22"/>
          <w:szCs w:val="22"/>
        </w:rPr>
        <w:t>our internal staff cascade</w:t>
      </w:r>
      <w:r w:rsidR="00C540C7">
        <w:rPr>
          <w:rFonts w:ascii="Calibri" w:hAnsi="Calibri" w:cs="Arial"/>
          <w:sz w:val="22"/>
          <w:szCs w:val="22"/>
        </w:rPr>
        <w:t xml:space="preserve">) </w:t>
      </w:r>
      <w:r w:rsidRPr="00AD3F8C">
        <w:rPr>
          <w:rFonts w:ascii="Calibri" w:hAnsi="Calibri" w:cs="Arial"/>
          <w:sz w:val="22"/>
          <w:szCs w:val="22"/>
        </w:rPr>
        <w:t>ha</w:t>
      </w:r>
      <w:r w:rsidR="00C540C7">
        <w:rPr>
          <w:rFonts w:ascii="Calibri" w:hAnsi="Calibri" w:cs="Arial"/>
          <w:sz w:val="22"/>
          <w:szCs w:val="22"/>
        </w:rPr>
        <w:t>ve</w:t>
      </w:r>
      <w:r w:rsidRPr="00AD3F8C">
        <w:rPr>
          <w:rFonts w:ascii="Calibri" w:hAnsi="Calibri" w:cs="Arial"/>
          <w:sz w:val="22"/>
          <w:szCs w:val="22"/>
        </w:rPr>
        <w:t xml:space="preserve"> continued via zoom.</w:t>
      </w:r>
    </w:p>
    <w:p w:rsidR="004C761B" w:rsidRPr="004C761B" w:rsidRDefault="004C761B" w:rsidP="00B85E73">
      <w:pPr>
        <w:widowControl w:val="0"/>
        <w:autoSpaceDE w:val="0"/>
        <w:autoSpaceDN w:val="0"/>
        <w:spacing w:before="170" w:line="261" w:lineRule="auto"/>
        <w:ind w:right="-2"/>
        <w:jc w:val="both"/>
        <w:rPr>
          <w:rFonts w:ascii="Calibri" w:hAnsi="Calibri" w:cs="Calibri"/>
        </w:rPr>
      </w:pPr>
      <w:r>
        <w:rPr>
          <w:rFonts w:ascii="Calibri" w:hAnsi="Calibri" w:cs="Arial"/>
          <w:sz w:val="22"/>
          <w:szCs w:val="22"/>
        </w:rPr>
        <w:t xml:space="preserve">The Council has also ensured that the local residents are regularly updated and kept informed. </w:t>
      </w:r>
      <w:r w:rsidRPr="004C761B">
        <w:rPr>
          <w:rFonts w:ascii="Calibri" w:hAnsi="Calibri" w:cs="Arial"/>
          <w:sz w:val="22"/>
          <w:szCs w:val="22"/>
        </w:rPr>
        <w:t>Social media output/impact has increased significantly since the start of the first lockdown highlighting both the increase in output from the Council and the demand from the local community for on-going information about local and national developments</w:t>
      </w:r>
      <w:r w:rsidR="00B85E73">
        <w:rPr>
          <w:rFonts w:ascii="Calibri" w:hAnsi="Calibri" w:cs="Arial"/>
          <w:sz w:val="22"/>
          <w:szCs w:val="22"/>
        </w:rPr>
        <w:t>.</w:t>
      </w:r>
    </w:p>
    <w:p w:rsidR="00253D21" w:rsidRPr="00B85E73" w:rsidRDefault="00253D21" w:rsidP="00253D21">
      <w:pPr>
        <w:spacing w:before="120" w:after="120"/>
        <w:jc w:val="both"/>
        <w:rPr>
          <w:rFonts w:ascii="Calibri" w:hAnsi="Calibri" w:cs="Arial"/>
          <w:b/>
          <w:sz w:val="22"/>
          <w:szCs w:val="22"/>
          <w:u w:val="single"/>
        </w:rPr>
      </w:pPr>
      <w:r w:rsidRPr="00B85E73">
        <w:rPr>
          <w:rFonts w:ascii="Calibri" w:hAnsi="Calibri" w:cs="Arial"/>
          <w:b/>
          <w:sz w:val="22"/>
          <w:szCs w:val="22"/>
          <w:u w:val="single"/>
        </w:rPr>
        <w:t>Areas of activity as part of the national response to coronavirus and any governance issues arising</w:t>
      </w:r>
    </w:p>
    <w:p w:rsidR="00C85602" w:rsidRDefault="00C85602" w:rsidP="00C85602">
      <w:pPr>
        <w:widowControl w:val="0"/>
        <w:autoSpaceDE w:val="0"/>
        <w:autoSpaceDN w:val="0"/>
        <w:spacing w:before="170" w:line="261" w:lineRule="auto"/>
        <w:ind w:right="-2"/>
        <w:jc w:val="both"/>
        <w:rPr>
          <w:rFonts w:ascii="Calibri" w:hAnsi="Calibri" w:cs="Arial"/>
          <w:sz w:val="22"/>
          <w:szCs w:val="22"/>
        </w:rPr>
      </w:pPr>
      <w:r w:rsidRPr="00C85602">
        <w:rPr>
          <w:rFonts w:ascii="Calibri" w:hAnsi="Calibri" w:cs="Arial"/>
          <w:sz w:val="22"/>
          <w:szCs w:val="22"/>
        </w:rPr>
        <w:t>Over the last nine months the Council’s housing team has worked closely with accommodation providers in both the social and private housing sectors, to ensure that we had sufficient capacity to accommodate anyone who needed assistance with accommodation</w:t>
      </w:r>
      <w:r w:rsidR="00B85E73">
        <w:rPr>
          <w:rFonts w:ascii="Calibri" w:hAnsi="Calibri" w:cs="Arial"/>
          <w:sz w:val="22"/>
          <w:szCs w:val="22"/>
        </w:rPr>
        <w:t>.</w:t>
      </w:r>
      <w:r w:rsidRPr="00C85602">
        <w:rPr>
          <w:rFonts w:ascii="Calibri" w:hAnsi="Calibri" w:cs="Arial"/>
          <w:sz w:val="22"/>
          <w:szCs w:val="22"/>
        </w:rPr>
        <w:t xml:space="preserve"> </w:t>
      </w:r>
    </w:p>
    <w:p w:rsidR="00C85602" w:rsidRPr="00C85602" w:rsidRDefault="00C85602" w:rsidP="002E0B6A">
      <w:pPr>
        <w:widowControl w:val="0"/>
        <w:autoSpaceDE w:val="0"/>
        <w:autoSpaceDN w:val="0"/>
        <w:spacing w:before="170" w:line="261" w:lineRule="auto"/>
        <w:ind w:right="-2"/>
        <w:jc w:val="both"/>
        <w:rPr>
          <w:rFonts w:ascii="Calibri" w:hAnsi="Calibri" w:cs="Arial"/>
          <w:sz w:val="22"/>
          <w:szCs w:val="22"/>
        </w:rPr>
      </w:pPr>
      <w:r w:rsidRPr="00C85602">
        <w:rPr>
          <w:rFonts w:ascii="Calibri" w:hAnsi="Calibri" w:cs="Arial"/>
          <w:sz w:val="22"/>
          <w:szCs w:val="22"/>
        </w:rPr>
        <w:t>Since the start of the first lockdown in March 2020</w:t>
      </w:r>
      <w:r w:rsidRPr="002E0B6A">
        <w:rPr>
          <w:rFonts w:ascii="Calibri" w:hAnsi="Calibri" w:cs="Arial"/>
          <w:sz w:val="22"/>
          <w:szCs w:val="22"/>
        </w:rPr>
        <w:t>, the Council has</w:t>
      </w:r>
      <w:r w:rsidRPr="00C85602">
        <w:rPr>
          <w:rFonts w:ascii="Calibri" w:hAnsi="Calibri" w:cs="Arial"/>
          <w:sz w:val="22"/>
          <w:szCs w:val="22"/>
        </w:rPr>
        <w:t xml:space="preserve"> worked closely with the Voluntary and Community Sector to identify community support needs and how these can be met. </w:t>
      </w:r>
      <w:r w:rsidR="00FD2BBA">
        <w:rPr>
          <w:rFonts w:ascii="Calibri" w:hAnsi="Calibri" w:cs="Arial"/>
          <w:sz w:val="22"/>
          <w:szCs w:val="22"/>
        </w:rPr>
        <w:t xml:space="preserve">The Council </w:t>
      </w:r>
      <w:r w:rsidR="00B85E73">
        <w:rPr>
          <w:rFonts w:ascii="Calibri" w:hAnsi="Calibri" w:cs="Arial"/>
          <w:sz w:val="22"/>
          <w:szCs w:val="22"/>
        </w:rPr>
        <w:lastRenderedPageBreak/>
        <w:t xml:space="preserve">has </w:t>
      </w:r>
      <w:r w:rsidR="00FD2BBA">
        <w:rPr>
          <w:rFonts w:ascii="Calibri" w:hAnsi="Calibri" w:cs="Arial"/>
          <w:sz w:val="22"/>
          <w:szCs w:val="22"/>
        </w:rPr>
        <w:t xml:space="preserve">also </w:t>
      </w:r>
      <w:r w:rsidR="002E0B6A">
        <w:rPr>
          <w:rFonts w:ascii="Calibri" w:hAnsi="Calibri" w:cs="Arial"/>
          <w:sz w:val="22"/>
          <w:szCs w:val="22"/>
        </w:rPr>
        <w:t>shar</w:t>
      </w:r>
      <w:r w:rsidR="00FA4C10">
        <w:rPr>
          <w:rFonts w:ascii="Calibri" w:hAnsi="Calibri" w:cs="Arial"/>
          <w:sz w:val="22"/>
          <w:szCs w:val="22"/>
        </w:rPr>
        <w:t>ed</w:t>
      </w:r>
      <w:r w:rsidR="002E0B6A">
        <w:rPr>
          <w:rFonts w:ascii="Calibri" w:hAnsi="Calibri" w:cs="Arial"/>
          <w:sz w:val="22"/>
          <w:szCs w:val="22"/>
        </w:rPr>
        <w:t xml:space="preserve"> good practice </w:t>
      </w:r>
      <w:r w:rsidRPr="00C85602">
        <w:rPr>
          <w:rFonts w:ascii="Calibri" w:hAnsi="Calibri" w:cs="Arial"/>
          <w:sz w:val="22"/>
          <w:szCs w:val="22"/>
        </w:rPr>
        <w:t>and learning and participat</w:t>
      </w:r>
      <w:r w:rsidR="002E0B6A">
        <w:rPr>
          <w:rFonts w:ascii="Calibri" w:hAnsi="Calibri" w:cs="Arial"/>
          <w:sz w:val="22"/>
          <w:szCs w:val="22"/>
        </w:rPr>
        <w:t>e</w:t>
      </w:r>
      <w:r w:rsidRPr="00C85602">
        <w:rPr>
          <w:rFonts w:ascii="Calibri" w:hAnsi="Calibri" w:cs="Arial"/>
          <w:sz w:val="22"/>
          <w:szCs w:val="22"/>
        </w:rPr>
        <w:t xml:space="preserve">d in a Digital Engagement - Celebrating Successes and Learning event where organisations shared what they have been doing to adapt their service offer and make good use of digital options. </w:t>
      </w:r>
    </w:p>
    <w:p w:rsidR="00BC3A6A" w:rsidRPr="00BC3A6A" w:rsidRDefault="00BC3A6A" w:rsidP="00ED4AB5">
      <w:pPr>
        <w:widowControl w:val="0"/>
        <w:autoSpaceDE w:val="0"/>
        <w:autoSpaceDN w:val="0"/>
        <w:spacing w:before="170" w:line="261" w:lineRule="auto"/>
        <w:ind w:right="-2"/>
        <w:jc w:val="both"/>
        <w:rPr>
          <w:rFonts w:ascii="Calibri" w:hAnsi="Calibri" w:cs="Arial"/>
          <w:sz w:val="22"/>
          <w:szCs w:val="22"/>
        </w:rPr>
      </w:pPr>
      <w:r w:rsidRPr="00BC3A6A">
        <w:rPr>
          <w:rFonts w:ascii="Calibri" w:hAnsi="Calibri" w:cs="Arial"/>
          <w:sz w:val="22"/>
          <w:szCs w:val="22"/>
        </w:rPr>
        <w:t>Covid</w:t>
      </w:r>
      <w:r w:rsidR="00ED4AB5">
        <w:rPr>
          <w:rFonts w:ascii="Calibri" w:hAnsi="Calibri" w:cs="Arial"/>
          <w:sz w:val="22"/>
          <w:szCs w:val="22"/>
        </w:rPr>
        <w:t>-</w:t>
      </w:r>
      <w:r w:rsidRPr="00BC3A6A">
        <w:rPr>
          <w:rFonts w:ascii="Calibri" w:hAnsi="Calibri" w:cs="Arial"/>
          <w:sz w:val="22"/>
          <w:szCs w:val="22"/>
        </w:rPr>
        <w:t>19 regulatory advice to businesses has been dealt with by Environmental Health, with pressure being brought to bear on traditional work streams.  Covid</w:t>
      </w:r>
      <w:r w:rsidR="00ED4AB5">
        <w:rPr>
          <w:rFonts w:ascii="Calibri" w:hAnsi="Calibri" w:cs="Arial"/>
          <w:sz w:val="22"/>
          <w:szCs w:val="22"/>
        </w:rPr>
        <w:t>-</w:t>
      </w:r>
      <w:r w:rsidRPr="00BC3A6A">
        <w:rPr>
          <w:rFonts w:ascii="Calibri" w:hAnsi="Calibri" w:cs="Arial"/>
          <w:sz w:val="22"/>
          <w:szCs w:val="22"/>
        </w:rPr>
        <w:t>19 enforcement work has also been undertaken, protecting the public and ensuring a more level playing field for all businesses affected by the pandemic.</w:t>
      </w:r>
    </w:p>
    <w:p w:rsidR="00BC3A6A" w:rsidRPr="00ED4AB5" w:rsidRDefault="00ED4AB5" w:rsidP="00ED4AB5">
      <w:pPr>
        <w:widowControl w:val="0"/>
        <w:autoSpaceDE w:val="0"/>
        <w:autoSpaceDN w:val="0"/>
        <w:spacing w:before="170" w:line="261" w:lineRule="auto"/>
        <w:ind w:right="-2"/>
        <w:jc w:val="both"/>
        <w:rPr>
          <w:rFonts w:ascii="Calibri" w:hAnsi="Calibri" w:cs="Arial"/>
          <w:sz w:val="22"/>
          <w:szCs w:val="22"/>
        </w:rPr>
      </w:pPr>
      <w:r>
        <w:rPr>
          <w:rFonts w:ascii="Calibri" w:hAnsi="Calibri" w:cs="Arial"/>
          <w:sz w:val="22"/>
          <w:szCs w:val="22"/>
        </w:rPr>
        <w:t>M</w:t>
      </w:r>
      <w:r w:rsidR="00BC3A6A" w:rsidRPr="00ED4AB5">
        <w:rPr>
          <w:rFonts w:ascii="Calibri" w:hAnsi="Calibri" w:cs="Arial"/>
          <w:sz w:val="22"/>
          <w:szCs w:val="22"/>
        </w:rPr>
        <w:t xml:space="preserve">aintaining front line services has been a focus for Operational Services. The Joint Waste Service was able to continue to deliver a complete service across both Lichfield and Tamworth, throughout 2020. </w:t>
      </w:r>
      <w:r>
        <w:rPr>
          <w:rFonts w:ascii="Calibri" w:hAnsi="Calibri" w:cs="Arial"/>
          <w:sz w:val="22"/>
          <w:szCs w:val="22"/>
        </w:rPr>
        <w:t xml:space="preserve">It was </w:t>
      </w:r>
      <w:r w:rsidR="00BC3A6A" w:rsidRPr="00ED4AB5">
        <w:rPr>
          <w:rFonts w:ascii="Calibri" w:hAnsi="Calibri" w:cs="Arial"/>
          <w:sz w:val="22"/>
          <w:szCs w:val="22"/>
        </w:rPr>
        <w:t xml:space="preserve">one of fewer than </w:t>
      </w:r>
      <w:r w:rsidR="00BC3A6A" w:rsidRPr="00ED4AB5">
        <w:rPr>
          <w:rFonts w:ascii="Calibri" w:hAnsi="Calibri" w:cs="Arial"/>
          <w:b/>
          <w:sz w:val="22"/>
          <w:szCs w:val="22"/>
        </w:rPr>
        <w:t xml:space="preserve">10% </w:t>
      </w:r>
      <w:r w:rsidR="00BC3A6A" w:rsidRPr="00ED4AB5">
        <w:rPr>
          <w:rFonts w:ascii="Calibri" w:hAnsi="Calibri" w:cs="Arial"/>
          <w:sz w:val="22"/>
          <w:szCs w:val="22"/>
        </w:rPr>
        <w:t xml:space="preserve">of collection authorities able to continue the collection of refuse, recycling, garden waste and bulky waste, along with the delivery of new bins. </w:t>
      </w:r>
    </w:p>
    <w:p w:rsidR="00CC752E" w:rsidRPr="00FA4C10" w:rsidRDefault="00CC752E" w:rsidP="00CC752E">
      <w:pPr>
        <w:spacing w:before="120" w:after="120"/>
        <w:jc w:val="both"/>
        <w:rPr>
          <w:rFonts w:ascii="Calibri" w:hAnsi="Calibri" w:cs="Arial"/>
          <w:b/>
          <w:sz w:val="22"/>
          <w:szCs w:val="22"/>
          <w:u w:val="single"/>
        </w:rPr>
      </w:pPr>
      <w:r w:rsidRPr="00FA4C10">
        <w:rPr>
          <w:rFonts w:ascii="Calibri" w:hAnsi="Calibri" w:cs="Arial"/>
          <w:b/>
          <w:sz w:val="22"/>
          <w:szCs w:val="22"/>
          <w:u w:val="single"/>
        </w:rPr>
        <w:t>The funding and logistical consequences of delivering the local government response</w:t>
      </w:r>
    </w:p>
    <w:p w:rsidR="00CC752E" w:rsidRPr="00CC752E" w:rsidRDefault="00CC752E" w:rsidP="00CC752E">
      <w:pPr>
        <w:kinsoku w:val="0"/>
        <w:overflowPunct w:val="0"/>
        <w:autoSpaceDE w:val="0"/>
        <w:autoSpaceDN w:val="0"/>
        <w:adjustRightInd w:val="0"/>
        <w:spacing w:before="100" w:after="100"/>
        <w:ind w:right="28"/>
        <w:jc w:val="both"/>
        <w:rPr>
          <w:rFonts w:ascii="Calibri" w:eastAsia="Calibri" w:hAnsi="Calibri"/>
          <w:color w:val="000000"/>
          <w:sz w:val="22"/>
          <w:szCs w:val="22"/>
        </w:rPr>
      </w:pPr>
      <w:r w:rsidRPr="00CC752E">
        <w:rPr>
          <w:rFonts w:ascii="Calibri" w:eastAsia="Calibri" w:hAnsi="Calibri"/>
          <w:color w:val="000000"/>
          <w:sz w:val="22"/>
          <w:szCs w:val="22"/>
        </w:rPr>
        <w:t>The ongoing C</w:t>
      </w:r>
      <w:r w:rsidR="0020097A">
        <w:rPr>
          <w:rFonts w:ascii="Calibri" w:eastAsia="Calibri" w:hAnsi="Calibri"/>
          <w:color w:val="000000"/>
          <w:sz w:val="22"/>
          <w:szCs w:val="22"/>
        </w:rPr>
        <w:t>ovid</w:t>
      </w:r>
      <w:r w:rsidRPr="00CC752E">
        <w:rPr>
          <w:rFonts w:ascii="Calibri" w:eastAsia="Calibri" w:hAnsi="Calibri"/>
          <w:color w:val="000000"/>
          <w:sz w:val="22"/>
          <w:szCs w:val="22"/>
        </w:rPr>
        <w:t xml:space="preserve">-19 pandemic has already had a significant impact on local council finances, the effects of which will continue through the current period of lockdown and beyond. The financial impact will be due to both unforeseen but necessary, expenditure and reduced income from fees and charges, Council Tax and Business Rates. </w:t>
      </w:r>
    </w:p>
    <w:p w:rsidR="00CC752E" w:rsidRPr="00CC752E" w:rsidRDefault="00CC752E" w:rsidP="00CC752E">
      <w:pPr>
        <w:kinsoku w:val="0"/>
        <w:spacing w:before="120" w:after="120" w:line="259" w:lineRule="auto"/>
        <w:ind w:right="28"/>
        <w:jc w:val="both"/>
        <w:rPr>
          <w:rFonts w:ascii="Calibri" w:eastAsia="Calibri" w:hAnsi="Calibri"/>
          <w:color w:val="000000"/>
          <w:sz w:val="22"/>
          <w:szCs w:val="22"/>
        </w:rPr>
      </w:pPr>
      <w:r w:rsidRPr="00CC752E">
        <w:rPr>
          <w:rFonts w:ascii="Calibri" w:eastAsia="Calibri" w:hAnsi="Calibri"/>
          <w:color w:val="000000"/>
          <w:sz w:val="22"/>
          <w:szCs w:val="22"/>
        </w:rPr>
        <w:t>The impact varies by area, dependent on factors such as geography, demographics, services delivered and the nature of the local economy. However to a large extent, it will depend on how quickly the national and local economies return to normal levels of activity.</w:t>
      </w:r>
    </w:p>
    <w:p w:rsidR="00CC752E" w:rsidRPr="00CC752E" w:rsidRDefault="00CC752E" w:rsidP="00CC752E">
      <w:pPr>
        <w:spacing w:before="120" w:after="120" w:line="259" w:lineRule="auto"/>
        <w:jc w:val="both"/>
        <w:rPr>
          <w:rFonts w:ascii="Calibri" w:eastAsia="Calibri" w:hAnsi="Calibri" w:cs="Calibri"/>
          <w:sz w:val="22"/>
          <w:szCs w:val="22"/>
        </w:rPr>
      </w:pPr>
      <w:r w:rsidRPr="00CC752E">
        <w:rPr>
          <w:rFonts w:ascii="Calibri" w:eastAsia="Calibri" w:hAnsi="Calibri" w:cs="Calibri"/>
          <w:sz w:val="22"/>
          <w:szCs w:val="22"/>
        </w:rPr>
        <w:t>To offset the additional financial pressures being faced by Local Government, the Government has provided the following support:</w:t>
      </w:r>
    </w:p>
    <w:p w:rsidR="00592B56" w:rsidRDefault="00CC752E" w:rsidP="003C6DC2">
      <w:pPr>
        <w:numPr>
          <w:ilvl w:val="0"/>
          <w:numId w:val="13"/>
        </w:numPr>
        <w:spacing w:before="120" w:after="120" w:line="252" w:lineRule="auto"/>
        <w:contextualSpacing/>
        <w:jc w:val="both"/>
        <w:rPr>
          <w:rFonts w:ascii="Calibri" w:eastAsiaTheme="minorHAnsi" w:hAnsi="Calibri" w:cs="Calibri"/>
          <w:sz w:val="22"/>
          <w:szCs w:val="22"/>
        </w:rPr>
      </w:pPr>
      <w:r w:rsidRPr="00592B56">
        <w:rPr>
          <w:rFonts w:ascii="Calibri" w:eastAsiaTheme="minorHAnsi" w:hAnsi="Calibri" w:cs="Calibri"/>
          <w:b/>
          <w:sz w:val="22"/>
          <w:szCs w:val="22"/>
        </w:rPr>
        <w:t>Additional grant funding</w:t>
      </w:r>
      <w:r w:rsidRPr="00592B56">
        <w:rPr>
          <w:rFonts w:ascii="Calibri" w:eastAsiaTheme="minorHAnsi" w:hAnsi="Calibri" w:cs="Calibri"/>
          <w:sz w:val="22"/>
          <w:szCs w:val="22"/>
        </w:rPr>
        <w:t xml:space="preserve"> - funding</w:t>
      </w:r>
      <w:r w:rsidR="00592B56">
        <w:rPr>
          <w:rFonts w:ascii="Calibri" w:eastAsiaTheme="minorHAnsi" w:hAnsi="Calibri" w:cs="Calibri"/>
          <w:sz w:val="22"/>
          <w:szCs w:val="22"/>
        </w:rPr>
        <w:t xml:space="preserve"> has</w:t>
      </w:r>
      <w:r w:rsidRPr="00592B56">
        <w:rPr>
          <w:rFonts w:ascii="Calibri" w:eastAsiaTheme="minorHAnsi" w:hAnsi="Calibri" w:cs="Calibri"/>
          <w:sz w:val="22"/>
          <w:szCs w:val="22"/>
        </w:rPr>
        <w:t xml:space="preserve"> been provided in five tranches durin</w:t>
      </w:r>
      <w:r w:rsidR="00592B56">
        <w:rPr>
          <w:rFonts w:ascii="Calibri" w:eastAsiaTheme="minorHAnsi" w:hAnsi="Calibri" w:cs="Calibri"/>
          <w:sz w:val="22"/>
          <w:szCs w:val="22"/>
        </w:rPr>
        <w:t>g 2019/20, 2020/21 and 2021/22</w:t>
      </w:r>
    </w:p>
    <w:p w:rsidR="00CC752E" w:rsidRPr="00592B56" w:rsidRDefault="00CC752E" w:rsidP="003C6DC2">
      <w:pPr>
        <w:numPr>
          <w:ilvl w:val="0"/>
          <w:numId w:val="13"/>
        </w:numPr>
        <w:spacing w:before="120" w:after="120" w:line="252" w:lineRule="auto"/>
        <w:contextualSpacing/>
        <w:jc w:val="both"/>
        <w:rPr>
          <w:rFonts w:ascii="Calibri" w:eastAsiaTheme="minorHAnsi" w:hAnsi="Calibri" w:cs="Calibri"/>
          <w:sz w:val="22"/>
          <w:szCs w:val="22"/>
        </w:rPr>
      </w:pPr>
      <w:r w:rsidRPr="00592B56">
        <w:rPr>
          <w:rFonts w:ascii="Calibri" w:eastAsiaTheme="minorHAnsi" w:hAnsi="Calibri" w:cs="Calibri"/>
          <w:b/>
          <w:sz w:val="22"/>
          <w:szCs w:val="22"/>
        </w:rPr>
        <w:t>Sales, fees and charges</w:t>
      </w:r>
      <w:r w:rsidR="00592B56">
        <w:rPr>
          <w:rFonts w:ascii="Calibri" w:eastAsiaTheme="minorHAnsi" w:hAnsi="Calibri" w:cs="Calibri"/>
          <w:b/>
          <w:sz w:val="22"/>
          <w:szCs w:val="22"/>
        </w:rPr>
        <w:t xml:space="preserve"> </w:t>
      </w:r>
      <w:r w:rsidRPr="00592B56">
        <w:rPr>
          <w:rFonts w:ascii="Calibri" w:eastAsiaTheme="minorHAnsi" w:hAnsi="Calibri" w:cs="Calibri"/>
          <w:b/>
          <w:sz w:val="22"/>
          <w:szCs w:val="22"/>
        </w:rPr>
        <w:t>scheme</w:t>
      </w:r>
      <w:r w:rsidRPr="00592B56">
        <w:rPr>
          <w:rFonts w:ascii="Calibri" w:eastAsiaTheme="minorHAnsi" w:hAnsi="Calibri" w:cs="Calibri"/>
          <w:sz w:val="22"/>
          <w:szCs w:val="22"/>
        </w:rPr>
        <w:t xml:space="preserve"> - compensation for reductions in income in 2020/21 and the</w:t>
      </w:r>
      <w:r w:rsidR="00592B56">
        <w:rPr>
          <w:rFonts w:ascii="Calibri" w:eastAsiaTheme="minorHAnsi" w:hAnsi="Calibri" w:cs="Calibri"/>
          <w:sz w:val="22"/>
          <w:szCs w:val="22"/>
        </w:rPr>
        <w:t xml:space="preserve"> first three months of 2021/22</w:t>
      </w:r>
    </w:p>
    <w:p w:rsidR="00592B56" w:rsidRDefault="00CC752E" w:rsidP="000E1FC8">
      <w:pPr>
        <w:numPr>
          <w:ilvl w:val="0"/>
          <w:numId w:val="13"/>
        </w:numPr>
        <w:spacing w:before="120" w:after="120" w:line="252" w:lineRule="auto"/>
        <w:contextualSpacing/>
        <w:jc w:val="both"/>
        <w:rPr>
          <w:rFonts w:ascii="Calibri" w:eastAsiaTheme="minorHAnsi" w:hAnsi="Calibri" w:cs="Calibri"/>
          <w:sz w:val="22"/>
          <w:szCs w:val="22"/>
        </w:rPr>
      </w:pPr>
      <w:r w:rsidRPr="00592B56">
        <w:rPr>
          <w:rFonts w:ascii="Calibri" w:eastAsiaTheme="minorHAnsi" w:hAnsi="Calibri" w:cs="Calibri"/>
          <w:b/>
          <w:sz w:val="22"/>
          <w:szCs w:val="22"/>
        </w:rPr>
        <w:t>Council Tax and Business Rates Losses</w:t>
      </w:r>
      <w:r w:rsidRPr="00592B56">
        <w:rPr>
          <w:rFonts w:ascii="Calibri" w:eastAsiaTheme="minorHAnsi" w:hAnsi="Calibri" w:cs="Calibri"/>
          <w:sz w:val="22"/>
          <w:szCs w:val="22"/>
        </w:rPr>
        <w:t xml:space="preserve"> </w:t>
      </w:r>
      <w:r w:rsidR="00592B56">
        <w:rPr>
          <w:rFonts w:ascii="Calibri" w:eastAsiaTheme="minorHAnsi" w:hAnsi="Calibri" w:cs="Calibri"/>
          <w:sz w:val="22"/>
          <w:szCs w:val="22"/>
        </w:rPr>
        <w:t>-</w:t>
      </w:r>
      <w:r w:rsidRPr="00592B56">
        <w:rPr>
          <w:rFonts w:ascii="Calibri" w:eastAsiaTheme="minorHAnsi" w:hAnsi="Calibri" w:cs="Calibri"/>
          <w:sz w:val="22"/>
          <w:szCs w:val="22"/>
        </w:rPr>
        <w:t xml:space="preserve"> to fund 75% of irrecoverable losses in council tax and business rates</w:t>
      </w:r>
    </w:p>
    <w:p w:rsidR="00CC752E" w:rsidRPr="00592B56" w:rsidRDefault="00CC752E" w:rsidP="000E1FC8">
      <w:pPr>
        <w:numPr>
          <w:ilvl w:val="0"/>
          <w:numId w:val="13"/>
        </w:numPr>
        <w:spacing w:before="120" w:after="120" w:line="252" w:lineRule="auto"/>
        <w:contextualSpacing/>
        <w:jc w:val="both"/>
        <w:rPr>
          <w:rFonts w:ascii="Calibri" w:eastAsiaTheme="minorHAnsi" w:hAnsi="Calibri" w:cs="Calibri"/>
          <w:sz w:val="22"/>
          <w:szCs w:val="22"/>
        </w:rPr>
      </w:pPr>
      <w:r w:rsidRPr="00592B56">
        <w:rPr>
          <w:rFonts w:ascii="Calibri" w:eastAsiaTheme="minorHAnsi" w:hAnsi="Calibri" w:cs="Calibri"/>
          <w:b/>
          <w:sz w:val="22"/>
          <w:szCs w:val="22"/>
        </w:rPr>
        <w:t>Local Council Tax Support Grant</w:t>
      </w:r>
      <w:r w:rsidRPr="00592B56">
        <w:rPr>
          <w:rFonts w:ascii="Calibri" w:eastAsiaTheme="minorHAnsi" w:hAnsi="Calibri" w:cs="Calibri"/>
          <w:sz w:val="22"/>
          <w:szCs w:val="22"/>
        </w:rPr>
        <w:t xml:space="preserve"> - a new grant for 2021/22 to compensate authorities for the expected additional cost of Local Council Tax Sup</w:t>
      </w:r>
      <w:r w:rsidR="00592B56">
        <w:rPr>
          <w:rFonts w:ascii="Calibri" w:eastAsiaTheme="minorHAnsi" w:hAnsi="Calibri" w:cs="Calibri"/>
          <w:sz w:val="22"/>
          <w:szCs w:val="22"/>
        </w:rPr>
        <w:t>port</w:t>
      </w:r>
      <w:r w:rsidR="00290E4C">
        <w:rPr>
          <w:rFonts w:ascii="Calibri" w:eastAsiaTheme="minorHAnsi" w:hAnsi="Calibri" w:cs="Calibri"/>
          <w:sz w:val="22"/>
          <w:szCs w:val="22"/>
        </w:rPr>
        <w:t xml:space="preserve"> </w:t>
      </w:r>
      <w:r w:rsidR="00592B56">
        <w:rPr>
          <w:rFonts w:ascii="Calibri" w:eastAsiaTheme="minorHAnsi" w:hAnsi="Calibri" w:cs="Calibri"/>
          <w:sz w:val="22"/>
          <w:szCs w:val="22"/>
        </w:rPr>
        <w:t>schemes in 2021/22</w:t>
      </w:r>
    </w:p>
    <w:p w:rsidR="00592B56" w:rsidRPr="00592B56" w:rsidRDefault="00CC752E" w:rsidP="00A006FD">
      <w:pPr>
        <w:numPr>
          <w:ilvl w:val="0"/>
          <w:numId w:val="13"/>
        </w:numPr>
        <w:spacing w:before="120" w:after="120" w:line="259" w:lineRule="auto"/>
        <w:contextualSpacing/>
        <w:jc w:val="both"/>
        <w:rPr>
          <w:rFonts w:ascii="Calibri" w:hAnsi="Calibri" w:cs="Calibri"/>
          <w:sz w:val="22"/>
          <w:szCs w:val="22"/>
        </w:rPr>
      </w:pPr>
      <w:r w:rsidRPr="00592B56">
        <w:rPr>
          <w:rFonts w:ascii="Calibri" w:eastAsiaTheme="minorHAnsi" w:hAnsi="Calibri" w:cs="Calibri"/>
          <w:b/>
          <w:sz w:val="22"/>
          <w:szCs w:val="22"/>
        </w:rPr>
        <w:t>National Leisure Recovery Scheme</w:t>
      </w:r>
      <w:r w:rsidRPr="00592B56">
        <w:rPr>
          <w:rFonts w:ascii="Calibri" w:eastAsiaTheme="minorHAnsi" w:hAnsi="Calibri" w:cs="Calibri"/>
          <w:sz w:val="22"/>
          <w:szCs w:val="22"/>
        </w:rPr>
        <w:t xml:space="preserve"> </w:t>
      </w:r>
      <w:r w:rsidR="00592B56">
        <w:rPr>
          <w:rFonts w:ascii="Calibri" w:eastAsiaTheme="minorHAnsi" w:hAnsi="Calibri" w:cs="Calibri"/>
          <w:sz w:val="22"/>
          <w:szCs w:val="22"/>
        </w:rPr>
        <w:t>-</w:t>
      </w:r>
      <w:r w:rsidR="00592B56" w:rsidRPr="00592B56">
        <w:rPr>
          <w:rFonts w:ascii="Calibri" w:eastAsiaTheme="minorHAnsi" w:hAnsi="Calibri" w:cs="Calibri"/>
          <w:sz w:val="22"/>
          <w:szCs w:val="22"/>
        </w:rPr>
        <w:t xml:space="preserve"> </w:t>
      </w:r>
      <w:r w:rsidRPr="00592B56">
        <w:rPr>
          <w:rFonts w:ascii="Calibri" w:eastAsiaTheme="minorHAnsi" w:hAnsi="Calibri" w:cs="Calibri"/>
          <w:sz w:val="22"/>
          <w:szCs w:val="22"/>
        </w:rPr>
        <w:t>to support leisure facilities</w:t>
      </w:r>
    </w:p>
    <w:p w:rsidR="00592B56" w:rsidRDefault="00592B56" w:rsidP="00592B56">
      <w:pPr>
        <w:spacing w:before="120" w:after="120" w:line="259" w:lineRule="auto"/>
        <w:contextualSpacing/>
        <w:jc w:val="both"/>
        <w:rPr>
          <w:rFonts w:ascii="Calibri" w:eastAsiaTheme="minorHAnsi" w:hAnsi="Calibri" w:cs="Calibri"/>
          <w:b/>
          <w:sz w:val="22"/>
          <w:szCs w:val="22"/>
        </w:rPr>
      </w:pPr>
    </w:p>
    <w:p w:rsidR="00CC752E" w:rsidRDefault="00CC752E" w:rsidP="00592B56">
      <w:pPr>
        <w:spacing w:before="120" w:after="120" w:line="259" w:lineRule="auto"/>
        <w:contextualSpacing/>
        <w:jc w:val="both"/>
        <w:rPr>
          <w:rFonts w:ascii="Calibri" w:eastAsia="Calibri" w:hAnsi="Calibri" w:cs="Calibri"/>
          <w:sz w:val="22"/>
          <w:szCs w:val="22"/>
        </w:rPr>
      </w:pPr>
      <w:r w:rsidRPr="00592B56">
        <w:rPr>
          <w:rFonts w:ascii="Calibri" w:eastAsia="Calibri" w:hAnsi="Calibri" w:cs="Calibri"/>
          <w:sz w:val="22"/>
          <w:szCs w:val="22"/>
        </w:rPr>
        <w:t xml:space="preserve">It is unclear at this stage whether this funding will be sufficient to offset all of the financial pressures and Local Government continues to lobby for further funding to be made available. </w:t>
      </w:r>
    </w:p>
    <w:p w:rsidR="00CC752E" w:rsidRPr="00592B56" w:rsidRDefault="00CC752E" w:rsidP="00CC752E">
      <w:pPr>
        <w:spacing w:before="120" w:after="120"/>
        <w:jc w:val="both"/>
        <w:rPr>
          <w:rFonts w:ascii="Calibri" w:hAnsi="Calibri" w:cs="Arial"/>
          <w:b/>
          <w:sz w:val="22"/>
          <w:szCs w:val="22"/>
          <w:u w:val="single"/>
        </w:rPr>
      </w:pPr>
      <w:r w:rsidRPr="00592B56">
        <w:rPr>
          <w:rFonts w:ascii="Calibri" w:hAnsi="Calibri" w:cs="Arial"/>
          <w:b/>
          <w:sz w:val="22"/>
          <w:szCs w:val="22"/>
          <w:u w:val="single"/>
        </w:rPr>
        <w:t>Assessment of the longer term disruption and consequences arising from the coronavirus pandemic</w:t>
      </w:r>
    </w:p>
    <w:p w:rsidR="00CC752E" w:rsidRPr="00CC752E" w:rsidRDefault="00CC752E" w:rsidP="00592B56">
      <w:pPr>
        <w:spacing w:before="120" w:after="120"/>
        <w:jc w:val="both"/>
        <w:rPr>
          <w:rFonts w:ascii="Calibri" w:hAnsi="Calibri" w:cs="Calibri"/>
          <w:sz w:val="22"/>
          <w:szCs w:val="22"/>
          <w:lang w:eastAsia="en-GB"/>
        </w:rPr>
      </w:pPr>
      <w:r w:rsidRPr="00592B56">
        <w:rPr>
          <w:rFonts w:ascii="Calibri" w:hAnsi="Calibri" w:cs="Arial"/>
          <w:sz w:val="22"/>
          <w:szCs w:val="22"/>
        </w:rPr>
        <w:t>It is essential that the Council focuses on the likely impact that the crisis, and its aftermath, will have</w:t>
      </w:r>
      <w:r w:rsidRPr="00CC752E">
        <w:rPr>
          <w:rFonts w:ascii="Calibri" w:hAnsi="Calibri" w:cs="Calibri"/>
          <w:sz w:val="22"/>
          <w:szCs w:val="22"/>
          <w:lang w:eastAsia="en-GB"/>
        </w:rPr>
        <w:t xml:space="preserve"> on income levels both now and potentially into the future. </w:t>
      </w:r>
    </w:p>
    <w:p w:rsidR="00CC752E" w:rsidRPr="00CC752E" w:rsidRDefault="00CC752E" w:rsidP="00CC752E">
      <w:pPr>
        <w:kinsoku w:val="0"/>
        <w:overflowPunct w:val="0"/>
        <w:autoSpaceDE w:val="0"/>
        <w:autoSpaceDN w:val="0"/>
        <w:adjustRightInd w:val="0"/>
        <w:spacing w:before="120" w:after="120"/>
        <w:ind w:right="28"/>
        <w:jc w:val="both"/>
        <w:rPr>
          <w:rFonts w:ascii="Calibri" w:hAnsi="Calibri" w:cs="Calibri"/>
          <w:sz w:val="22"/>
          <w:szCs w:val="22"/>
          <w:lang w:eastAsia="en-GB"/>
        </w:rPr>
      </w:pPr>
      <w:r w:rsidRPr="00CC752E">
        <w:rPr>
          <w:rFonts w:ascii="Calibri" w:hAnsi="Calibri" w:cs="Calibri"/>
          <w:sz w:val="22"/>
          <w:szCs w:val="22"/>
          <w:lang w:eastAsia="en-GB"/>
        </w:rPr>
        <w:t>The C</w:t>
      </w:r>
      <w:r w:rsidR="0020097A">
        <w:rPr>
          <w:rFonts w:ascii="Calibri" w:hAnsi="Calibri" w:cs="Calibri"/>
          <w:sz w:val="22"/>
          <w:szCs w:val="22"/>
          <w:lang w:eastAsia="en-GB"/>
        </w:rPr>
        <w:t>ovid</w:t>
      </w:r>
      <w:r w:rsidRPr="00CC752E">
        <w:rPr>
          <w:rFonts w:ascii="Calibri" w:hAnsi="Calibri" w:cs="Calibri"/>
          <w:sz w:val="22"/>
          <w:szCs w:val="22"/>
          <w:lang w:eastAsia="en-GB"/>
        </w:rPr>
        <w:t xml:space="preserve">-19 crisis is likely to be long-lasting and far reaching, affecting more than one financial year. It could be difficult for councils to reduce their spending back to pre-crisis levels and income streams will not necessarily bounce back quickly, especially if the local economy is in recession. </w:t>
      </w:r>
    </w:p>
    <w:p w:rsidR="00CC752E" w:rsidRPr="00CC752E" w:rsidRDefault="00CC752E" w:rsidP="00592B56">
      <w:pPr>
        <w:kinsoku w:val="0"/>
        <w:overflowPunct w:val="0"/>
        <w:autoSpaceDE w:val="0"/>
        <w:autoSpaceDN w:val="0"/>
        <w:adjustRightInd w:val="0"/>
        <w:spacing w:before="120" w:after="120"/>
        <w:ind w:right="28"/>
        <w:jc w:val="both"/>
        <w:rPr>
          <w:rFonts w:ascii="Calibri" w:hAnsi="Calibri" w:cs="Calibri"/>
          <w:sz w:val="22"/>
          <w:szCs w:val="22"/>
          <w:lang w:eastAsia="en-GB"/>
        </w:rPr>
      </w:pPr>
      <w:r w:rsidRPr="00CC752E">
        <w:rPr>
          <w:rFonts w:ascii="Calibri" w:hAnsi="Calibri" w:cs="Calibri"/>
          <w:sz w:val="22"/>
          <w:szCs w:val="22"/>
          <w:lang w:eastAsia="en-GB"/>
        </w:rPr>
        <w:t>This means that the assumptions underlying later years in the MTFS will almost certainly need to change, making the ‘funding gap’ for 2021/22 and beyond larger</w:t>
      </w:r>
      <w:r w:rsidR="00592B56">
        <w:rPr>
          <w:rFonts w:ascii="Calibri" w:hAnsi="Calibri" w:cs="Calibri"/>
          <w:sz w:val="22"/>
          <w:szCs w:val="22"/>
          <w:lang w:eastAsia="en-GB"/>
        </w:rPr>
        <w:t>.</w:t>
      </w:r>
      <w:r w:rsidRPr="00CC752E">
        <w:rPr>
          <w:rFonts w:ascii="Calibri" w:hAnsi="Calibri" w:cs="Calibri"/>
          <w:sz w:val="22"/>
          <w:szCs w:val="22"/>
          <w:lang w:eastAsia="en-GB"/>
        </w:rPr>
        <w:t xml:space="preserve"> </w:t>
      </w:r>
    </w:p>
    <w:p w:rsidR="00253D21" w:rsidRPr="00592B56" w:rsidRDefault="00253D21" w:rsidP="00253D21">
      <w:pPr>
        <w:spacing w:before="120" w:after="120"/>
        <w:jc w:val="both"/>
        <w:rPr>
          <w:rFonts w:ascii="Calibri" w:hAnsi="Calibri" w:cs="Arial"/>
          <w:b/>
          <w:sz w:val="22"/>
          <w:szCs w:val="22"/>
          <w:u w:val="single"/>
        </w:rPr>
      </w:pPr>
      <w:r w:rsidRPr="00592B56">
        <w:rPr>
          <w:rFonts w:ascii="Calibri" w:hAnsi="Calibri" w:cs="Arial"/>
          <w:b/>
          <w:sz w:val="22"/>
          <w:szCs w:val="22"/>
          <w:u w:val="single"/>
        </w:rPr>
        <w:t>Some Positive Outcomes for the Council</w:t>
      </w:r>
    </w:p>
    <w:p w:rsidR="00253D21" w:rsidRPr="00985EFC" w:rsidRDefault="00253D21" w:rsidP="00253D21">
      <w:pPr>
        <w:spacing w:before="120" w:after="120" w:line="259" w:lineRule="auto"/>
        <w:jc w:val="both"/>
        <w:rPr>
          <w:rFonts w:ascii="Calibri" w:hAnsi="Calibri" w:cs="Calibri"/>
          <w:b/>
          <w:noProof/>
          <w:lang w:eastAsia="en-GB"/>
        </w:rPr>
      </w:pPr>
      <w:r w:rsidRPr="00985EFC">
        <w:rPr>
          <w:rFonts w:ascii="Calibri" w:hAnsi="Calibri" w:cs="Calibri"/>
          <w:noProof/>
          <w:sz w:val="22"/>
          <w:szCs w:val="22"/>
          <w:lang w:eastAsia="en-GB"/>
        </w:rPr>
        <w:t>The pandemic has not been totally without some positive outcomes for the Council, for example:</w:t>
      </w:r>
    </w:p>
    <w:p w:rsidR="00253D21" w:rsidRPr="00985EFC" w:rsidRDefault="00253D21" w:rsidP="00253D21">
      <w:pPr>
        <w:numPr>
          <w:ilvl w:val="0"/>
          <w:numId w:val="10"/>
        </w:numPr>
        <w:spacing w:before="120" w:after="120" w:line="259" w:lineRule="auto"/>
        <w:contextualSpacing/>
        <w:jc w:val="both"/>
        <w:rPr>
          <w:rFonts w:ascii="Calibri" w:eastAsia="Calibri" w:hAnsi="Calibri" w:cs="Calibri"/>
          <w:sz w:val="22"/>
          <w:szCs w:val="22"/>
        </w:rPr>
      </w:pPr>
      <w:r w:rsidRPr="00985EFC">
        <w:rPr>
          <w:rFonts w:ascii="Calibri" w:eastAsia="Calibri" w:hAnsi="Calibri" w:cs="Calibri"/>
          <w:sz w:val="22"/>
          <w:szCs w:val="22"/>
        </w:rPr>
        <w:lastRenderedPageBreak/>
        <w:t>We have demonstrated the ability to respond and change at pace where needed, something that can be further develop in the future to adapt and deliver change across the Council and its communities</w:t>
      </w:r>
    </w:p>
    <w:p w:rsidR="00253D21" w:rsidRPr="00985EFC" w:rsidRDefault="00253D21" w:rsidP="00253D21">
      <w:pPr>
        <w:numPr>
          <w:ilvl w:val="0"/>
          <w:numId w:val="10"/>
        </w:numPr>
        <w:spacing w:before="120" w:after="120" w:line="259" w:lineRule="auto"/>
        <w:contextualSpacing/>
        <w:jc w:val="both"/>
        <w:rPr>
          <w:rFonts w:ascii="Calibri" w:eastAsia="Calibri" w:hAnsi="Calibri" w:cs="Calibri"/>
          <w:sz w:val="22"/>
          <w:szCs w:val="22"/>
        </w:rPr>
      </w:pPr>
      <w:r w:rsidRPr="00985EFC">
        <w:rPr>
          <w:rFonts w:ascii="Calibri" w:eastAsia="Calibri" w:hAnsi="Calibri" w:cs="Calibri"/>
          <w:sz w:val="22"/>
          <w:szCs w:val="22"/>
        </w:rPr>
        <w:t>The Council’s staff have shown the ability to rapidly change mind-set and culture, thereby demonstrating we can deliver services successfully through a virtual front-door and work both flexibly and remotely</w:t>
      </w:r>
    </w:p>
    <w:p w:rsidR="00253D21" w:rsidRPr="00985EFC" w:rsidRDefault="00253D21" w:rsidP="00253D21">
      <w:pPr>
        <w:numPr>
          <w:ilvl w:val="0"/>
          <w:numId w:val="10"/>
        </w:numPr>
        <w:spacing w:before="120" w:after="120" w:line="259" w:lineRule="auto"/>
        <w:contextualSpacing/>
        <w:jc w:val="both"/>
        <w:rPr>
          <w:rFonts w:ascii="Calibri" w:eastAsia="Calibri" w:hAnsi="Calibri" w:cs="Calibri"/>
          <w:sz w:val="22"/>
          <w:szCs w:val="22"/>
        </w:rPr>
      </w:pPr>
      <w:r w:rsidRPr="00985EFC">
        <w:rPr>
          <w:rFonts w:ascii="Calibri" w:eastAsia="Calibri" w:hAnsi="Calibri" w:cs="Calibri"/>
          <w:sz w:val="22"/>
          <w:szCs w:val="22"/>
        </w:rPr>
        <w:t>The pandemic has highlighted the current position in regards to the resilience and integrity of our ICT infrastructure, whilst also demonstrating areas for future attention in order to optimise the new normal</w:t>
      </w:r>
    </w:p>
    <w:p w:rsidR="00253D21" w:rsidRDefault="00253D21" w:rsidP="00253D21">
      <w:pPr>
        <w:numPr>
          <w:ilvl w:val="0"/>
          <w:numId w:val="10"/>
        </w:numPr>
        <w:spacing w:before="120" w:after="120" w:line="259" w:lineRule="auto"/>
        <w:ind w:left="714" w:hanging="357"/>
        <w:contextualSpacing/>
        <w:jc w:val="both"/>
        <w:rPr>
          <w:rFonts w:ascii="Calibri" w:eastAsia="Calibri" w:hAnsi="Calibri" w:cs="Calibri"/>
          <w:sz w:val="22"/>
          <w:szCs w:val="22"/>
        </w:rPr>
      </w:pPr>
      <w:r w:rsidRPr="00985EFC">
        <w:rPr>
          <w:rFonts w:ascii="Calibri" w:eastAsia="Calibri" w:hAnsi="Calibri" w:cs="Calibri"/>
          <w:sz w:val="22"/>
          <w:szCs w:val="22"/>
        </w:rPr>
        <w:t>It has shown the need for a modern office design, providing the catalyst to make changes which people are accepting of, without the normal change curve and inherent tensions</w:t>
      </w:r>
    </w:p>
    <w:p w:rsidR="00290E4C" w:rsidRPr="00985EFC" w:rsidRDefault="00290E4C" w:rsidP="00290E4C">
      <w:pPr>
        <w:spacing w:before="120" w:after="120" w:line="259" w:lineRule="auto"/>
        <w:ind w:left="714"/>
        <w:contextualSpacing/>
        <w:jc w:val="both"/>
        <w:rPr>
          <w:rFonts w:ascii="Calibri" w:eastAsia="Calibri" w:hAnsi="Calibri" w:cs="Calibri"/>
          <w:sz w:val="22"/>
          <w:szCs w:val="22"/>
        </w:rPr>
      </w:pPr>
    </w:p>
    <w:p w:rsidR="00253D21" w:rsidRPr="00592B56" w:rsidRDefault="00253D21" w:rsidP="00253D21">
      <w:pPr>
        <w:spacing w:before="120" w:after="120"/>
        <w:jc w:val="both"/>
        <w:rPr>
          <w:rFonts w:ascii="Calibri" w:hAnsi="Calibri" w:cs="Arial"/>
          <w:sz w:val="22"/>
          <w:szCs w:val="22"/>
        </w:rPr>
      </w:pPr>
      <w:r w:rsidRPr="00985EFC">
        <w:rPr>
          <w:rFonts w:ascii="Calibri" w:hAnsi="Calibri" w:cs="Arial"/>
          <w:sz w:val="22"/>
          <w:szCs w:val="22"/>
        </w:rPr>
        <w:t xml:space="preserve">Once the crisis is over, the Council will conduct a review of the lessons to be learned from its </w:t>
      </w:r>
      <w:r w:rsidRPr="00592B56">
        <w:rPr>
          <w:rFonts w:ascii="Calibri" w:hAnsi="Calibri" w:cs="Arial"/>
          <w:sz w:val="22"/>
          <w:szCs w:val="22"/>
        </w:rPr>
        <w:t>response.  If this takes place before the Annual Governance Statement is approved, its findings will be included within the Statement.</w:t>
      </w:r>
    </w:p>
    <w:p w:rsidR="00253D21" w:rsidRPr="00592B56" w:rsidRDefault="00253D21" w:rsidP="00253D21">
      <w:pPr>
        <w:spacing w:before="120" w:after="120"/>
        <w:jc w:val="both"/>
        <w:rPr>
          <w:rFonts w:ascii="Calibri" w:hAnsi="Calibri" w:cs="Arial"/>
          <w:sz w:val="22"/>
          <w:szCs w:val="22"/>
        </w:rPr>
      </w:pPr>
      <w:r w:rsidRPr="00592B56">
        <w:rPr>
          <w:rFonts w:ascii="Calibri" w:hAnsi="Calibri" w:cs="Arial"/>
          <w:sz w:val="22"/>
          <w:szCs w:val="22"/>
        </w:rPr>
        <w:t> </w:t>
      </w:r>
    </w:p>
    <w:p w:rsidR="00253D21" w:rsidRPr="00985EFC" w:rsidRDefault="00253D21" w:rsidP="00253D21">
      <w:pPr>
        <w:jc w:val="both"/>
        <w:rPr>
          <w:rFonts w:ascii="Calibri" w:hAnsi="Calibri" w:cs="Arial"/>
          <w:sz w:val="22"/>
          <w:szCs w:val="22"/>
        </w:rPr>
      </w:pPr>
      <w:r w:rsidRPr="00985EFC">
        <w:rPr>
          <w:rFonts w:ascii="Calibri" w:hAnsi="Calibri" w:cs="Arial"/>
          <w:sz w:val="22"/>
          <w:szCs w:val="22"/>
        </w:rPr>
        <w:tab/>
      </w:r>
    </w:p>
    <w:p w:rsidR="00253D21" w:rsidRPr="007F5415" w:rsidRDefault="00253D21" w:rsidP="00253D21">
      <w:pPr>
        <w:jc w:val="both"/>
        <w:rPr>
          <w:rFonts w:ascii="Calibri" w:hAnsi="Calibri" w:cs="Arial"/>
          <w:sz w:val="22"/>
          <w:szCs w:val="22"/>
          <w:highlight w:val="yellow"/>
        </w:rPr>
      </w:pPr>
    </w:p>
    <w:p w:rsidR="00253D21" w:rsidRPr="007F5415" w:rsidRDefault="00253D21" w:rsidP="00253D21">
      <w:pPr>
        <w:jc w:val="both"/>
        <w:rPr>
          <w:rFonts w:ascii="Calibri" w:hAnsi="Calibri" w:cs="Arial"/>
          <w:highlight w:val="yellow"/>
        </w:rPr>
      </w:pPr>
    </w:p>
    <w:p w:rsidR="00253D21" w:rsidRPr="007F5415" w:rsidRDefault="00253D21" w:rsidP="00253D21">
      <w:pPr>
        <w:jc w:val="both"/>
        <w:rPr>
          <w:rFonts w:ascii="Calibri" w:hAnsi="Calibri" w:cs="Arial"/>
          <w:highlight w:val="yellow"/>
        </w:rPr>
      </w:pPr>
    </w:p>
    <w:p w:rsidR="00253D21" w:rsidRPr="006C7E67" w:rsidRDefault="00253D21" w:rsidP="00253D21">
      <w:pPr>
        <w:jc w:val="both"/>
        <w:rPr>
          <w:rFonts w:ascii="Calibri" w:hAnsi="Calibri" w:cs="Arial"/>
          <w:b/>
        </w:rPr>
      </w:pPr>
      <w:r w:rsidRPr="006C7E67">
        <w:rPr>
          <w:rFonts w:ascii="Calibri" w:hAnsi="Calibri" w:cs="Arial"/>
          <w:b/>
        </w:rPr>
        <w:t>Diane Tilley</w:t>
      </w:r>
      <w:r w:rsidRPr="006C7E67">
        <w:rPr>
          <w:rFonts w:ascii="Calibri" w:hAnsi="Calibri" w:cs="Arial"/>
          <w:b/>
        </w:rPr>
        <w:tab/>
      </w:r>
      <w:r w:rsidRPr="006C7E67">
        <w:rPr>
          <w:rFonts w:ascii="Calibri" w:hAnsi="Calibri" w:cs="Arial"/>
          <w:b/>
        </w:rPr>
        <w:tab/>
      </w:r>
      <w:r w:rsidRPr="006C7E67">
        <w:rPr>
          <w:rFonts w:ascii="Calibri" w:hAnsi="Calibri" w:cs="Arial"/>
          <w:b/>
        </w:rPr>
        <w:tab/>
        <w:t xml:space="preserve">   Councillor Douglas Pullen</w:t>
      </w:r>
    </w:p>
    <w:p w:rsidR="00253D21" w:rsidRPr="00F8524C" w:rsidRDefault="00253D21" w:rsidP="00253D21">
      <w:pPr>
        <w:jc w:val="both"/>
        <w:rPr>
          <w:rFonts w:ascii="Calibri" w:hAnsi="Calibri" w:cs="Arial"/>
          <w:b/>
        </w:rPr>
      </w:pPr>
      <w:r w:rsidRPr="006C7E67">
        <w:rPr>
          <w:rFonts w:ascii="Calibri" w:hAnsi="Calibri" w:cs="Arial"/>
          <w:b/>
        </w:rPr>
        <w:t>Chief Executive</w:t>
      </w:r>
      <w:r w:rsidRPr="006C7E67">
        <w:rPr>
          <w:rFonts w:ascii="Calibri" w:hAnsi="Calibri" w:cs="Arial"/>
          <w:b/>
        </w:rPr>
        <w:tab/>
        <w:t xml:space="preserve">                 Leader of the Council</w:t>
      </w:r>
      <w:r w:rsidRPr="00F8524C">
        <w:rPr>
          <w:rFonts w:ascii="Calibri" w:hAnsi="Calibri" w:cs="Arial"/>
          <w:b/>
        </w:rPr>
        <w:t xml:space="preserve"> </w:t>
      </w:r>
    </w:p>
    <w:p w:rsidR="009E5DD1" w:rsidRDefault="009E5DD1"/>
    <w:sectPr w:rsidR="009E5DD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D49" w:rsidRDefault="00E07D49" w:rsidP="00247119">
      <w:r>
        <w:separator/>
      </w:r>
    </w:p>
  </w:endnote>
  <w:endnote w:type="continuationSeparator" w:id="0">
    <w:p w:rsidR="00E07D49" w:rsidRDefault="00E07D49" w:rsidP="0024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8B7" w:rsidRDefault="009F48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8B7" w:rsidRDefault="009F48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8B7" w:rsidRDefault="009F4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D49" w:rsidRDefault="00E07D49" w:rsidP="00247119">
      <w:r>
        <w:separator/>
      </w:r>
    </w:p>
  </w:footnote>
  <w:footnote w:type="continuationSeparator" w:id="0">
    <w:p w:rsidR="00E07D49" w:rsidRDefault="00E07D49" w:rsidP="00247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8B7" w:rsidRDefault="009F48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821104"/>
      <w:docPartObj>
        <w:docPartGallery w:val="Watermarks"/>
        <w:docPartUnique/>
      </w:docPartObj>
    </w:sdtPr>
    <w:sdtEndPr/>
    <w:sdtContent>
      <w:p w:rsidR="009F48B7" w:rsidRDefault="00823CC4">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315205" o:spid="_x0000_s2049" type="#_x0000_t136" style="position:absolute;margin-left:0;margin-top:0;width:451.25pt;height:270.75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8B7" w:rsidRDefault="009F48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5873"/>
    <w:multiLevelType w:val="hybridMultilevel"/>
    <w:tmpl w:val="105A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20134"/>
    <w:multiLevelType w:val="hybridMultilevel"/>
    <w:tmpl w:val="9FB2D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25F57"/>
    <w:multiLevelType w:val="hybridMultilevel"/>
    <w:tmpl w:val="63F8AB5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 w15:restartNumberingAfterBreak="0">
    <w:nsid w:val="0FDD47B4"/>
    <w:multiLevelType w:val="multilevel"/>
    <w:tmpl w:val="31DAC77C"/>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4" w15:restartNumberingAfterBreak="0">
    <w:nsid w:val="11E779A7"/>
    <w:multiLevelType w:val="hybridMultilevel"/>
    <w:tmpl w:val="8934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A1E24"/>
    <w:multiLevelType w:val="hybridMultilevel"/>
    <w:tmpl w:val="DE9A3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962016"/>
    <w:multiLevelType w:val="hybridMultilevel"/>
    <w:tmpl w:val="2D08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DDE"/>
    <w:multiLevelType w:val="hybridMultilevel"/>
    <w:tmpl w:val="6A663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31E0B"/>
    <w:multiLevelType w:val="hybridMultilevel"/>
    <w:tmpl w:val="1226C3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E4FB9"/>
    <w:multiLevelType w:val="multilevel"/>
    <w:tmpl w:val="82E2C01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93CFD"/>
    <w:multiLevelType w:val="hybridMultilevel"/>
    <w:tmpl w:val="C7548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FC3E7C"/>
    <w:multiLevelType w:val="hybridMultilevel"/>
    <w:tmpl w:val="D3D8C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B21146"/>
    <w:multiLevelType w:val="hybridMultilevel"/>
    <w:tmpl w:val="B0262E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4EFA0F4F"/>
    <w:multiLevelType w:val="hybridMultilevel"/>
    <w:tmpl w:val="6BEC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543096"/>
    <w:multiLevelType w:val="hybridMultilevel"/>
    <w:tmpl w:val="64DE0148"/>
    <w:lvl w:ilvl="0" w:tplc="08090001">
      <w:start w:val="1"/>
      <w:numFmt w:val="bullet"/>
      <w:lvlText w:val=""/>
      <w:lvlJc w:val="left"/>
      <w:pPr>
        <w:ind w:left="1597" w:hanging="360"/>
      </w:pPr>
      <w:rPr>
        <w:rFonts w:ascii="Symbol" w:hAnsi="Symbol" w:hint="default"/>
      </w:rPr>
    </w:lvl>
    <w:lvl w:ilvl="1" w:tplc="08090003">
      <w:start w:val="1"/>
      <w:numFmt w:val="bullet"/>
      <w:lvlText w:val="o"/>
      <w:lvlJc w:val="left"/>
      <w:pPr>
        <w:ind w:left="2317" w:hanging="360"/>
      </w:pPr>
      <w:rPr>
        <w:rFonts w:ascii="Courier New" w:hAnsi="Courier New" w:cs="Courier New" w:hint="default"/>
      </w:rPr>
    </w:lvl>
    <w:lvl w:ilvl="2" w:tplc="08090005">
      <w:start w:val="1"/>
      <w:numFmt w:val="bullet"/>
      <w:lvlText w:val=""/>
      <w:lvlJc w:val="left"/>
      <w:pPr>
        <w:ind w:left="3037" w:hanging="360"/>
      </w:pPr>
      <w:rPr>
        <w:rFonts w:ascii="Wingdings" w:hAnsi="Wingdings" w:hint="default"/>
      </w:rPr>
    </w:lvl>
    <w:lvl w:ilvl="3" w:tplc="08090001">
      <w:start w:val="1"/>
      <w:numFmt w:val="bullet"/>
      <w:lvlText w:val=""/>
      <w:lvlJc w:val="left"/>
      <w:pPr>
        <w:ind w:left="3757" w:hanging="360"/>
      </w:pPr>
      <w:rPr>
        <w:rFonts w:ascii="Symbol" w:hAnsi="Symbol" w:hint="default"/>
      </w:rPr>
    </w:lvl>
    <w:lvl w:ilvl="4" w:tplc="08090003">
      <w:start w:val="1"/>
      <w:numFmt w:val="bullet"/>
      <w:lvlText w:val="o"/>
      <w:lvlJc w:val="left"/>
      <w:pPr>
        <w:ind w:left="4477" w:hanging="360"/>
      </w:pPr>
      <w:rPr>
        <w:rFonts w:ascii="Courier New" w:hAnsi="Courier New" w:cs="Courier New" w:hint="default"/>
      </w:rPr>
    </w:lvl>
    <w:lvl w:ilvl="5" w:tplc="08090005">
      <w:start w:val="1"/>
      <w:numFmt w:val="bullet"/>
      <w:lvlText w:val=""/>
      <w:lvlJc w:val="left"/>
      <w:pPr>
        <w:ind w:left="5197" w:hanging="360"/>
      </w:pPr>
      <w:rPr>
        <w:rFonts w:ascii="Wingdings" w:hAnsi="Wingdings" w:hint="default"/>
      </w:rPr>
    </w:lvl>
    <w:lvl w:ilvl="6" w:tplc="08090001">
      <w:start w:val="1"/>
      <w:numFmt w:val="bullet"/>
      <w:lvlText w:val=""/>
      <w:lvlJc w:val="left"/>
      <w:pPr>
        <w:ind w:left="5917" w:hanging="360"/>
      </w:pPr>
      <w:rPr>
        <w:rFonts w:ascii="Symbol" w:hAnsi="Symbol" w:hint="default"/>
      </w:rPr>
    </w:lvl>
    <w:lvl w:ilvl="7" w:tplc="08090003">
      <w:start w:val="1"/>
      <w:numFmt w:val="bullet"/>
      <w:lvlText w:val="o"/>
      <w:lvlJc w:val="left"/>
      <w:pPr>
        <w:ind w:left="6637" w:hanging="360"/>
      </w:pPr>
      <w:rPr>
        <w:rFonts w:ascii="Courier New" w:hAnsi="Courier New" w:cs="Courier New" w:hint="default"/>
      </w:rPr>
    </w:lvl>
    <w:lvl w:ilvl="8" w:tplc="08090005">
      <w:start w:val="1"/>
      <w:numFmt w:val="bullet"/>
      <w:lvlText w:val=""/>
      <w:lvlJc w:val="left"/>
      <w:pPr>
        <w:ind w:left="7357" w:hanging="360"/>
      </w:pPr>
      <w:rPr>
        <w:rFonts w:ascii="Wingdings" w:hAnsi="Wingdings" w:hint="default"/>
      </w:rPr>
    </w:lvl>
  </w:abstractNum>
  <w:abstractNum w:abstractNumId="15" w15:restartNumberingAfterBreak="0">
    <w:nsid w:val="537A33AE"/>
    <w:multiLevelType w:val="multilevel"/>
    <w:tmpl w:val="8CA64E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A74829"/>
    <w:multiLevelType w:val="hybridMultilevel"/>
    <w:tmpl w:val="31FC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20665"/>
    <w:multiLevelType w:val="hybridMultilevel"/>
    <w:tmpl w:val="05087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B1785"/>
    <w:multiLevelType w:val="hybridMultilevel"/>
    <w:tmpl w:val="1774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E03BB"/>
    <w:multiLevelType w:val="hybridMultilevel"/>
    <w:tmpl w:val="BAE8D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99492D"/>
    <w:multiLevelType w:val="hybridMultilevel"/>
    <w:tmpl w:val="F1B2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4E1FD1"/>
    <w:multiLevelType w:val="hybridMultilevel"/>
    <w:tmpl w:val="84A2A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01033"/>
    <w:multiLevelType w:val="hybridMultilevel"/>
    <w:tmpl w:val="B388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2"/>
  </w:num>
  <w:num w:numId="4">
    <w:abstractNumId w:val="18"/>
  </w:num>
  <w:num w:numId="5">
    <w:abstractNumId w:val="21"/>
  </w:num>
  <w:num w:numId="6">
    <w:abstractNumId w:val="20"/>
  </w:num>
  <w:num w:numId="7">
    <w:abstractNumId w:val="6"/>
  </w:num>
  <w:num w:numId="8">
    <w:abstractNumId w:val="4"/>
  </w:num>
  <w:num w:numId="9">
    <w:abstractNumId w:val="2"/>
  </w:num>
  <w:num w:numId="10">
    <w:abstractNumId w:val="19"/>
  </w:num>
  <w:num w:numId="11">
    <w:abstractNumId w:val="16"/>
  </w:num>
  <w:num w:numId="12">
    <w:abstractNumId w:val="12"/>
  </w:num>
  <w:num w:numId="13">
    <w:abstractNumId w:val="5"/>
  </w:num>
  <w:num w:numId="14">
    <w:abstractNumId w:val="3"/>
  </w:num>
  <w:num w:numId="15">
    <w:abstractNumId w:val="14"/>
  </w:num>
  <w:num w:numId="16">
    <w:abstractNumId w:val="17"/>
  </w:num>
  <w:num w:numId="17">
    <w:abstractNumId w:val="11"/>
  </w:num>
  <w:num w:numId="18">
    <w:abstractNumId w:val="1"/>
  </w:num>
  <w:num w:numId="19">
    <w:abstractNumId w:val="7"/>
  </w:num>
  <w:num w:numId="20">
    <w:abstractNumId w:val="10"/>
  </w:num>
  <w:num w:numId="21">
    <w:abstractNumId w:val="15"/>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21"/>
    <w:rsid w:val="00044827"/>
    <w:rsid w:val="00050FAD"/>
    <w:rsid w:val="000A1798"/>
    <w:rsid w:val="000C5891"/>
    <w:rsid w:val="000D2497"/>
    <w:rsid w:val="00117078"/>
    <w:rsid w:val="00147DF8"/>
    <w:rsid w:val="00194CE0"/>
    <w:rsid w:val="001A02C3"/>
    <w:rsid w:val="001A3BDA"/>
    <w:rsid w:val="001B2138"/>
    <w:rsid w:val="001B330D"/>
    <w:rsid w:val="001D1CDB"/>
    <w:rsid w:val="001D30A1"/>
    <w:rsid w:val="001D7290"/>
    <w:rsid w:val="001E0393"/>
    <w:rsid w:val="001F7DBE"/>
    <w:rsid w:val="0020097A"/>
    <w:rsid w:val="00215210"/>
    <w:rsid w:val="00230958"/>
    <w:rsid w:val="00247119"/>
    <w:rsid w:val="00253D21"/>
    <w:rsid w:val="00254449"/>
    <w:rsid w:val="00257B4E"/>
    <w:rsid w:val="00290E4C"/>
    <w:rsid w:val="002B0A9F"/>
    <w:rsid w:val="002E0B6A"/>
    <w:rsid w:val="002F2CD2"/>
    <w:rsid w:val="002F783A"/>
    <w:rsid w:val="0032197B"/>
    <w:rsid w:val="003247EA"/>
    <w:rsid w:val="00362E33"/>
    <w:rsid w:val="003A5A7F"/>
    <w:rsid w:val="003B50A1"/>
    <w:rsid w:val="003F4E1D"/>
    <w:rsid w:val="00420883"/>
    <w:rsid w:val="00443D2F"/>
    <w:rsid w:val="00465630"/>
    <w:rsid w:val="004722BD"/>
    <w:rsid w:val="00480D0D"/>
    <w:rsid w:val="00481D2F"/>
    <w:rsid w:val="00482CBD"/>
    <w:rsid w:val="004859C6"/>
    <w:rsid w:val="004B0E7A"/>
    <w:rsid w:val="004C761B"/>
    <w:rsid w:val="004E7772"/>
    <w:rsid w:val="00513392"/>
    <w:rsid w:val="0054412E"/>
    <w:rsid w:val="00570A32"/>
    <w:rsid w:val="00590740"/>
    <w:rsid w:val="00592B56"/>
    <w:rsid w:val="005A68C3"/>
    <w:rsid w:val="005B0812"/>
    <w:rsid w:val="005B165C"/>
    <w:rsid w:val="005B2357"/>
    <w:rsid w:val="005B391D"/>
    <w:rsid w:val="005D4150"/>
    <w:rsid w:val="005D6647"/>
    <w:rsid w:val="005F2895"/>
    <w:rsid w:val="00607140"/>
    <w:rsid w:val="00614CC1"/>
    <w:rsid w:val="006302F9"/>
    <w:rsid w:val="00643495"/>
    <w:rsid w:val="006566E8"/>
    <w:rsid w:val="00665AED"/>
    <w:rsid w:val="00665F14"/>
    <w:rsid w:val="0067768A"/>
    <w:rsid w:val="006C4E5F"/>
    <w:rsid w:val="006C7E67"/>
    <w:rsid w:val="006D167F"/>
    <w:rsid w:val="006F539E"/>
    <w:rsid w:val="006F760B"/>
    <w:rsid w:val="00713AC3"/>
    <w:rsid w:val="00727246"/>
    <w:rsid w:val="00746455"/>
    <w:rsid w:val="00750D37"/>
    <w:rsid w:val="00761461"/>
    <w:rsid w:val="007667D3"/>
    <w:rsid w:val="00780A83"/>
    <w:rsid w:val="00781C76"/>
    <w:rsid w:val="007B4217"/>
    <w:rsid w:val="007B536F"/>
    <w:rsid w:val="007F5415"/>
    <w:rsid w:val="00823CC4"/>
    <w:rsid w:val="00825B01"/>
    <w:rsid w:val="008763D6"/>
    <w:rsid w:val="008839A5"/>
    <w:rsid w:val="008D19A5"/>
    <w:rsid w:val="008F7CE4"/>
    <w:rsid w:val="00937F8E"/>
    <w:rsid w:val="009402A2"/>
    <w:rsid w:val="00963A30"/>
    <w:rsid w:val="00973F9E"/>
    <w:rsid w:val="00985EFC"/>
    <w:rsid w:val="00986189"/>
    <w:rsid w:val="0099083E"/>
    <w:rsid w:val="009A0B18"/>
    <w:rsid w:val="009A0BFA"/>
    <w:rsid w:val="009A1834"/>
    <w:rsid w:val="009B342A"/>
    <w:rsid w:val="009D7DA2"/>
    <w:rsid w:val="009E5DD1"/>
    <w:rsid w:val="009F48B7"/>
    <w:rsid w:val="00A1744E"/>
    <w:rsid w:val="00A34A91"/>
    <w:rsid w:val="00AB5EAD"/>
    <w:rsid w:val="00AC7BD1"/>
    <w:rsid w:val="00AD3F8C"/>
    <w:rsid w:val="00B27DD8"/>
    <w:rsid w:val="00B41DF5"/>
    <w:rsid w:val="00B57296"/>
    <w:rsid w:val="00B63BF7"/>
    <w:rsid w:val="00B65813"/>
    <w:rsid w:val="00B65D1A"/>
    <w:rsid w:val="00B85E73"/>
    <w:rsid w:val="00BC3A6A"/>
    <w:rsid w:val="00BD4606"/>
    <w:rsid w:val="00BF480C"/>
    <w:rsid w:val="00C0573F"/>
    <w:rsid w:val="00C05EE3"/>
    <w:rsid w:val="00C133A2"/>
    <w:rsid w:val="00C21497"/>
    <w:rsid w:val="00C22F56"/>
    <w:rsid w:val="00C540C7"/>
    <w:rsid w:val="00C66C31"/>
    <w:rsid w:val="00C83CD9"/>
    <w:rsid w:val="00C85602"/>
    <w:rsid w:val="00CA36D7"/>
    <w:rsid w:val="00CB35AD"/>
    <w:rsid w:val="00CC752E"/>
    <w:rsid w:val="00CE0294"/>
    <w:rsid w:val="00CE7754"/>
    <w:rsid w:val="00D35736"/>
    <w:rsid w:val="00D45FCF"/>
    <w:rsid w:val="00D6736B"/>
    <w:rsid w:val="00D86C98"/>
    <w:rsid w:val="00DA3EA8"/>
    <w:rsid w:val="00DA4896"/>
    <w:rsid w:val="00DC6BD4"/>
    <w:rsid w:val="00E07D49"/>
    <w:rsid w:val="00E154F2"/>
    <w:rsid w:val="00E407C4"/>
    <w:rsid w:val="00E65237"/>
    <w:rsid w:val="00E90EB3"/>
    <w:rsid w:val="00ED4AB5"/>
    <w:rsid w:val="00EE4DB3"/>
    <w:rsid w:val="00EF3482"/>
    <w:rsid w:val="00F0601A"/>
    <w:rsid w:val="00F10188"/>
    <w:rsid w:val="00F10F3D"/>
    <w:rsid w:val="00F20FA0"/>
    <w:rsid w:val="00F34E01"/>
    <w:rsid w:val="00F4676B"/>
    <w:rsid w:val="00F46EB7"/>
    <w:rsid w:val="00F65F2D"/>
    <w:rsid w:val="00FA4C10"/>
    <w:rsid w:val="00FB6582"/>
    <w:rsid w:val="00FB6972"/>
    <w:rsid w:val="00FC7AC0"/>
    <w:rsid w:val="00FD2BBA"/>
    <w:rsid w:val="00FF0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E29EAC7-262C-4061-9E48-4F206FA2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D2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53D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53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86189"/>
    <w:rPr>
      <w:strike w:val="0"/>
      <w:dstrike w:val="0"/>
      <w:color w:val="008080"/>
      <w:u w:val="none"/>
      <w:effect w:val="none"/>
      <w:shd w:val="clear" w:color="auto" w:fill="auto"/>
    </w:rPr>
  </w:style>
  <w:style w:type="paragraph" w:styleId="NormalWeb">
    <w:name w:val="Normal (Web)"/>
    <w:basedOn w:val="Normal"/>
    <w:uiPriority w:val="99"/>
    <w:semiHidden/>
    <w:unhideWhenUsed/>
    <w:rsid w:val="00986189"/>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247119"/>
    <w:pPr>
      <w:tabs>
        <w:tab w:val="center" w:pos="4513"/>
        <w:tab w:val="right" w:pos="9026"/>
      </w:tabs>
    </w:pPr>
  </w:style>
  <w:style w:type="character" w:customStyle="1" w:styleId="HeaderChar">
    <w:name w:val="Header Char"/>
    <w:basedOn w:val="DefaultParagraphFont"/>
    <w:link w:val="Header"/>
    <w:uiPriority w:val="99"/>
    <w:rsid w:val="00247119"/>
    <w:rPr>
      <w:rFonts w:ascii="Arial" w:eastAsia="Times New Roman" w:hAnsi="Arial" w:cs="Times New Roman"/>
      <w:sz w:val="24"/>
      <w:szCs w:val="24"/>
    </w:rPr>
  </w:style>
  <w:style w:type="paragraph" w:styleId="Footer">
    <w:name w:val="footer"/>
    <w:basedOn w:val="Normal"/>
    <w:link w:val="FooterChar"/>
    <w:uiPriority w:val="99"/>
    <w:unhideWhenUsed/>
    <w:rsid w:val="00247119"/>
    <w:pPr>
      <w:tabs>
        <w:tab w:val="center" w:pos="4513"/>
        <w:tab w:val="right" w:pos="9026"/>
      </w:tabs>
    </w:pPr>
  </w:style>
  <w:style w:type="character" w:customStyle="1" w:styleId="FooterChar">
    <w:name w:val="Footer Char"/>
    <w:basedOn w:val="DefaultParagraphFont"/>
    <w:link w:val="Footer"/>
    <w:uiPriority w:val="99"/>
    <w:rsid w:val="00247119"/>
    <w:rPr>
      <w:rFonts w:ascii="Arial" w:eastAsia="Times New Roman" w:hAnsi="Arial" w:cs="Times New Roman"/>
      <w:sz w:val="24"/>
      <w:szCs w:val="24"/>
    </w:rPr>
  </w:style>
  <w:style w:type="paragraph" w:styleId="ListParagraph">
    <w:name w:val="List Paragraph"/>
    <w:basedOn w:val="Normal"/>
    <w:uiPriority w:val="34"/>
    <w:qFormat/>
    <w:rsid w:val="00AC7BD1"/>
    <w:pPr>
      <w:ind w:left="720"/>
      <w:contextualSpacing/>
    </w:pPr>
  </w:style>
  <w:style w:type="paragraph" w:customStyle="1" w:styleId="Default">
    <w:name w:val="Default"/>
    <w:rsid w:val="000A1798"/>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465630"/>
    <w:rPr>
      <w:sz w:val="20"/>
      <w:szCs w:val="20"/>
    </w:rPr>
  </w:style>
  <w:style w:type="character" w:customStyle="1" w:styleId="EndnoteTextChar">
    <w:name w:val="Endnote Text Char"/>
    <w:basedOn w:val="DefaultParagraphFont"/>
    <w:link w:val="EndnoteText"/>
    <w:uiPriority w:val="99"/>
    <w:semiHidden/>
    <w:rsid w:val="0046563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4656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183928">
      <w:bodyDiv w:val="1"/>
      <w:marLeft w:val="0"/>
      <w:marRight w:val="0"/>
      <w:marTop w:val="0"/>
      <w:marBottom w:val="0"/>
      <w:divBdr>
        <w:top w:val="none" w:sz="0" w:space="0" w:color="auto"/>
        <w:left w:val="none" w:sz="0" w:space="0" w:color="auto"/>
        <w:bottom w:val="none" w:sz="0" w:space="0" w:color="auto"/>
        <w:right w:val="none" w:sz="0" w:space="0" w:color="auto"/>
      </w:divBdr>
    </w:div>
    <w:div w:id="480461807">
      <w:bodyDiv w:val="1"/>
      <w:marLeft w:val="0"/>
      <w:marRight w:val="0"/>
      <w:marTop w:val="0"/>
      <w:marBottom w:val="0"/>
      <w:divBdr>
        <w:top w:val="none" w:sz="0" w:space="0" w:color="auto"/>
        <w:left w:val="none" w:sz="0" w:space="0" w:color="auto"/>
        <w:bottom w:val="none" w:sz="0" w:space="0" w:color="auto"/>
        <w:right w:val="none" w:sz="0" w:space="0" w:color="auto"/>
      </w:divBdr>
    </w:div>
    <w:div w:id="609361072">
      <w:bodyDiv w:val="1"/>
      <w:marLeft w:val="0"/>
      <w:marRight w:val="0"/>
      <w:marTop w:val="0"/>
      <w:marBottom w:val="0"/>
      <w:divBdr>
        <w:top w:val="none" w:sz="0" w:space="0" w:color="auto"/>
        <w:left w:val="none" w:sz="0" w:space="0" w:color="auto"/>
        <w:bottom w:val="none" w:sz="0" w:space="0" w:color="auto"/>
        <w:right w:val="none" w:sz="0" w:space="0" w:color="auto"/>
      </w:divBdr>
    </w:div>
    <w:div w:id="663125647">
      <w:bodyDiv w:val="1"/>
      <w:marLeft w:val="0"/>
      <w:marRight w:val="0"/>
      <w:marTop w:val="0"/>
      <w:marBottom w:val="0"/>
      <w:divBdr>
        <w:top w:val="none" w:sz="0" w:space="0" w:color="auto"/>
        <w:left w:val="none" w:sz="0" w:space="0" w:color="auto"/>
        <w:bottom w:val="none" w:sz="0" w:space="0" w:color="auto"/>
        <w:right w:val="none" w:sz="0" w:space="0" w:color="auto"/>
      </w:divBdr>
    </w:div>
    <w:div w:id="717515747">
      <w:bodyDiv w:val="1"/>
      <w:marLeft w:val="0"/>
      <w:marRight w:val="0"/>
      <w:marTop w:val="0"/>
      <w:marBottom w:val="0"/>
      <w:divBdr>
        <w:top w:val="none" w:sz="0" w:space="0" w:color="auto"/>
        <w:left w:val="none" w:sz="0" w:space="0" w:color="auto"/>
        <w:bottom w:val="none" w:sz="0" w:space="0" w:color="auto"/>
        <w:right w:val="none" w:sz="0" w:space="0" w:color="auto"/>
      </w:divBdr>
    </w:div>
    <w:div w:id="1085764576">
      <w:bodyDiv w:val="1"/>
      <w:marLeft w:val="0"/>
      <w:marRight w:val="0"/>
      <w:marTop w:val="0"/>
      <w:marBottom w:val="0"/>
      <w:divBdr>
        <w:top w:val="none" w:sz="0" w:space="0" w:color="auto"/>
        <w:left w:val="none" w:sz="0" w:space="0" w:color="auto"/>
        <w:bottom w:val="none" w:sz="0" w:space="0" w:color="auto"/>
        <w:right w:val="none" w:sz="0" w:space="0" w:color="auto"/>
      </w:divBdr>
      <w:divsChild>
        <w:div w:id="387193699">
          <w:marLeft w:val="0"/>
          <w:marRight w:val="0"/>
          <w:marTop w:val="0"/>
          <w:marBottom w:val="0"/>
          <w:divBdr>
            <w:top w:val="none" w:sz="0" w:space="0" w:color="auto"/>
            <w:left w:val="none" w:sz="0" w:space="0" w:color="auto"/>
            <w:bottom w:val="none" w:sz="0" w:space="0" w:color="auto"/>
            <w:right w:val="none" w:sz="0" w:space="0" w:color="auto"/>
          </w:divBdr>
          <w:divsChild>
            <w:div w:id="1571889168">
              <w:marLeft w:val="0"/>
              <w:marRight w:val="0"/>
              <w:marTop w:val="0"/>
              <w:marBottom w:val="0"/>
              <w:divBdr>
                <w:top w:val="none" w:sz="0" w:space="0" w:color="auto"/>
                <w:left w:val="none" w:sz="0" w:space="0" w:color="auto"/>
                <w:bottom w:val="none" w:sz="0" w:space="0" w:color="auto"/>
                <w:right w:val="none" w:sz="0" w:space="0" w:color="auto"/>
              </w:divBdr>
              <w:divsChild>
                <w:div w:id="443160436">
                  <w:marLeft w:val="0"/>
                  <w:marRight w:val="0"/>
                  <w:marTop w:val="0"/>
                  <w:marBottom w:val="0"/>
                  <w:divBdr>
                    <w:top w:val="none" w:sz="0" w:space="0" w:color="auto"/>
                    <w:left w:val="none" w:sz="0" w:space="0" w:color="auto"/>
                    <w:bottom w:val="none" w:sz="0" w:space="0" w:color="auto"/>
                    <w:right w:val="none" w:sz="0" w:space="0" w:color="auto"/>
                  </w:divBdr>
                  <w:divsChild>
                    <w:div w:id="151429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442805">
      <w:bodyDiv w:val="1"/>
      <w:marLeft w:val="0"/>
      <w:marRight w:val="0"/>
      <w:marTop w:val="0"/>
      <w:marBottom w:val="0"/>
      <w:divBdr>
        <w:top w:val="none" w:sz="0" w:space="0" w:color="auto"/>
        <w:left w:val="none" w:sz="0" w:space="0" w:color="auto"/>
        <w:bottom w:val="none" w:sz="0" w:space="0" w:color="auto"/>
        <w:right w:val="none" w:sz="0" w:space="0" w:color="auto"/>
      </w:divBdr>
    </w:div>
    <w:div w:id="1811051096">
      <w:bodyDiv w:val="1"/>
      <w:marLeft w:val="0"/>
      <w:marRight w:val="0"/>
      <w:marTop w:val="0"/>
      <w:marBottom w:val="0"/>
      <w:divBdr>
        <w:top w:val="none" w:sz="0" w:space="0" w:color="auto"/>
        <w:left w:val="none" w:sz="0" w:space="0" w:color="auto"/>
        <w:bottom w:val="none" w:sz="0" w:space="0" w:color="auto"/>
        <w:right w:val="none" w:sz="0" w:space="0" w:color="auto"/>
      </w:divBdr>
    </w:div>
    <w:div w:id="193705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sitlichfield.co.uk"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legislation.gov.uk/ukpga/2000/36/contents"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local-government-transparency-code-201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8E6C3-5449-4176-AF44-4C5DA219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8795</Words>
  <Characters>50133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58811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Irving, Jane</dc:creator>
  <cp:keywords/>
  <dc:description/>
  <cp:lastModifiedBy>Irving, Jane</cp:lastModifiedBy>
  <cp:revision>6</cp:revision>
  <dcterms:created xsi:type="dcterms:W3CDTF">2021-05-19T09:37:00Z</dcterms:created>
  <dcterms:modified xsi:type="dcterms:W3CDTF">2021-05-21T11:06:00Z</dcterms:modified>
</cp:coreProperties>
</file>